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EA3" w:rsidRDefault="000F3EA3" w:rsidP="000F3EA3">
      <w:pPr>
        <w:tabs>
          <w:tab w:val="left" w:pos="1815"/>
        </w:tabs>
        <w:ind w:right="-142"/>
      </w:pPr>
      <w:r>
        <w:tab/>
      </w:r>
      <w:r w:rsidRPr="00F00A94">
        <w:rPr>
          <w:noProof/>
          <w:lang w:eastAsia="pl-PL"/>
        </w:rPr>
        <w:drawing>
          <wp:inline distT="0" distB="0" distL="0" distR="0">
            <wp:extent cx="5722620" cy="56388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FA0" w:rsidRPr="00657FA0" w:rsidRDefault="000F3EA3" w:rsidP="00657FA0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Zał. nr 2</w:t>
      </w:r>
      <w:r w:rsidRPr="00ED5C2A">
        <w:rPr>
          <w:rFonts w:ascii="Times New Roman" w:hAnsi="Times New Roman" w:cs="Times New Roman"/>
          <w:spacing w:val="-2"/>
          <w:sz w:val="24"/>
          <w:szCs w:val="24"/>
        </w:rPr>
        <w:t xml:space="preserve"> do zap. ofertowego</w:t>
      </w:r>
      <w:r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:rsidR="00657FA0" w:rsidRPr="00657FA0" w:rsidRDefault="00657FA0" w:rsidP="00657FA0">
      <w:pPr>
        <w:ind w:right="-286"/>
        <w:rPr>
          <w:rFonts w:ascii="Times New Roman" w:hAnsi="Times New Roman" w:cs="Times New Roman"/>
          <w:spacing w:val="-2"/>
          <w:sz w:val="24"/>
          <w:szCs w:val="24"/>
        </w:rPr>
      </w:pPr>
      <w:r w:rsidRPr="00F00A94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F51D1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6300">
        <w:rPr>
          <w:rFonts w:ascii="Times New Roman" w:hAnsi="Times New Roman" w:cs="Times New Roman"/>
          <w:sz w:val="24"/>
          <w:szCs w:val="24"/>
        </w:rPr>
        <w:t>RPK.1.263.2</w:t>
      </w:r>
      <w:r w:rsidR="00635DAC">
        <w:rPr>
          <w:rFonts w:ascii="Times New Roman" w:hAnsi="Times New Roman" w:cs="Times New Roman"/>
          <w:sz w:val="24"/>
          <w:szCs w:val="24"/>
        </w:rPr>
        <w:t>.2023</w:t>
      </w:r>
    </w:p>
    <w:p w:rsidR="000F3EA3" w:rsidRDefault="000F3EA3" w:rsidP="00657FA0">
      <w:pPr>
        <w:tabs>
          <w:tab w:val="center" w:pos="4535"/>
          <w:tab w:val="right" w:pos="9781"/>
        </w:tabs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Opis przedmiotu zamówienia</w:t>
      </w:r>
    </w:p>
    <w:p w:rsidR="00657FA0" w:rsidRDefault="00657FA0" w:rsidP="00657FA0">
      <w:pPr>
        <w:tabs>
          <w:tab w:val="center" w:pos="4535"/>
          <w:tab w:val="right" w:pos="9781"/>
        </w:tabs>
        <w:spacing w:after="0"/>
        <w:jc w:val="center"/>
        <w:rPr>
          <w:rFonts w:cs="Times New Roman"/>
          <w:spacing w:val="-2"/>
          <w:sz w:val="24"/>
          <w:szCs w:val="24"/>
        </w:rPr>
      </w:pPr>
    </w:p>
    <w:p w:rsidR="00704DF6" w:rsidRPr="00EC78F4" w:rsidRDefault="00D67225" w:rsidP="00704DF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d</w:t>
      </w:r>
      <w:r w:rsidR="00657FA0" w:rsidRPr="00C71C85">
        <w:rPr>
          <w:rFonts w:ascii="Times New Roman" w:hAnsi="Times New Roman" w:cs="Times New Roman"/>
          <w:spacing w:val="-2"/>
          <w:sz w:val="24"/>
          <w:szCs w:val="24"/>
        </w:rPr>
        <w:t>ot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  <w:r w:rsidR="00657FA0" w:rsidRPr="00C71C85">
        <w:rPr>
          <w:rFonts w:ascii="Times New Roman" w:hAnsi="Times New Roman" w:cs="Times New Roman"/>
          <w:spacing w:val="-2"/>
          <w:sz w:val="24"/>
          <w:szCs w:val="24"/>
        </w:rPr>
        <w:t xml:space="preserve"> zamówienia publicznego pn. 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„Zakup i dostawę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4 szt. komputerów</w:t>
      </w:r>
      <w:r w:rsidR="001E630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z oprogramowaniem</w:t>
      </w:r>
      <w:bookmarkStart w:id="0" w:name="_GoBack"/>
      <w:bookmarkEnd w:id="0"/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Powiatowego Centrum Pomocy Rodzinie w Kamieniu Pomorskim</w:t>
      </w:r>
      <w:r w:rsidR="00704DF6" w:rsidRPr="00403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dla specjalistów Regionalnego Centrum Kryzysowego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ramach zadania pn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Regionalne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04D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="00704DF6"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:rsidR="00657FA0" w:rsidRPr="00657FA0" w:rsidRDefault="00657FA0" w:rsidP="00657FA0">
      <w:pPr>
        <w:ind w:right="-286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F63B5" w:rsidRDefault="00DF63B5" w:rsidP="00DF63B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3"/>
        <w:gridCol w:w="1778"/>
        <w:gridCol w:w="6719"/>
      </w:tblGrid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7CF6" w:rsidRPr="000B3683" w:rsidRDefault="00397CF6" w:rsidP="0049490B">
            <w:pPr>
              <w:pStyle w:val="Tabelapozycja"/>
              <w:spacing w:line="276" w:lineRule="auto"/>
              <w:rPr>
                <w:rFonts w:ascii="Times New Roman" w:eastAsia="Times New Roman" w:hAnsi="Times New Roman"/>
                <w:b/>
                <w:sz w:val="20"/>
                <w:szCs w:val="24"/>
                <w:lang w:eastAsia="en-US"/>
              </w:rPr>
            </w:pPr>
            <w:r w:rsidRPr="000B3683">
              <w:rPr>
                <w:rFonts w:ascii="Times New Roman" w:eastAsia="Times New Roman" w:hAnsi="Times New Roman"/>
                <w:b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CF6" w:rsidRPr="000B3683" w:rsidRDefault="00397CF6" w:rsidP="00494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Nazwa komponentu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CF6" w:rsidRPr="000B3683" w:rsidRDefault="00397CF6" w:rsidP="00494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</w:pPr>
            <w:r w:rsidRPr="000B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4"/>
                <w:lang w:eastAsia="pl-PL"/>
              </w:rPr>
              <w:t>wymagane parametry minimalne techniczne komputerów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F6" w:rsidRPr="000B3683" w:rsidRDefault="00397CF6" w:rsidP="0049490B">
            <w:pPr>
              <w:spacing w:after="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0B3683">
              <w:rPr>
                <w:rFonts w:ascii="Times New Roman" w:hAnsi="Times New Roman" w:cs="Times New Roman"/>
                <w:bCs/>
                <w:szCs w:val="24"/>
              </w:rPr>
              <w:t>Zastosowanie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F6" w:rsidRPr="000B3683" w:rsidRDefault="00397CF6" w:rsidP="0049490B">
            <w:pPr>
              <w:spacing w:after="0"/>
              <w:jc w:val="both"/>
              <w:rPr>
                <w:rFonts w:ascii="Times New Roman" w:hAnsi="Times New Roman" w:cs="Times New Roman"/>
                <w:bCs/>
                <w:szCs w:val="24"/>
              </w:rPr>
            </w:pPr>
            <w:r w:rsidRPr="000B3683">
              <w:rPr>
                <w:rFonts w:ascii="Times New Roman" w:hAnsi="Times New Roman"/>
                <w:szCs w:val="24"/>
              </w:rPr>
              <w:t>Komputer będzie wykorzystywany dla potrzeb aplikacji biurowych, dostępu do Internetu oraz poczty elektronicznej, jako lokalna baza danych, stacja programistyczna.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F6" w:rsidRPr="000B3683" w:rsidRDefault="00397CF6" w:rsidP="0049490B">
            <w:pPr>
              <w:rPr>
                <w:rFonts w:ascii="Times New Roman" w:hAnsi="Times New Roman"/>
                <w:szCs w:val="24"/>
              </w:rPr>
            </w:pPr>
            <w:r w:rsidRPr="000B3683">
              <w:rPr>
                <w:rFonts w:ascii="Times New Roman" w:hAnsi="Times New Roman"/>
                <w:szCs w:val="24"/>
              </w:rPr>
              <w:t>Ekran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Rozmiar min. 23,8” z podświetleniem w technologii LED IPS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Rozdzielczość: min. 1920x1080 FHD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Jasność matrycy min. 250 cd/m2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Czas reakcji nie więcej niż 14ms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Kontrast statyczny min. 1 000:1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Technologia redukujące efekt migotania oraz ograniczające emisję światła niebieskiego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Procesor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Procesor klasy x86, zaprojektowany do wydajnej pracy w komputerach stacjonarnych.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  <w:highlight w:val="yellow"/>
              </w:rPr>
              <w:t>Procesor musi osiągać w testach SYSMark 25 minimum 925 punktów.</w:t>
            </w:r>
            <w:r w:rsidRPr="000B3683">
              <w:rPr>
                <w:rFonts w:ascii="Times New Roman" w:hAnsi="Times New Roman" w:cs="Times New Roman"/>
              </w:rPr>
              <w:t xml:space="preserve">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Wyniki testu należy załączyć do oferty. </w:t>
            </w:r>
            <w:r w:rsidRPr="000B3683">
              <w:rPr>
                <w:rFonts w:ascii="Times New Roman" w:hAnsi="Times New Roman" w:cs="Times New Roman"/>
              </w:rPr>
              <w:br/>
              <w:t>Testy muszą zostać przeprowadzone na konfiguracji zaoferowanej Zamawiającemu:</w:t>
            </w:r>
          </w:p>
          <w:p w:rsidR="00397CF6" w:rsidRPr="000B3683" w:rsidRDefault="00397CF6" w:rsidP="00397CF6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modelu procesora</w:t>
            </w:r>
          </w:p>
          <w:p w:rsidR="00397CF6" w:rsidRPr="000B3683" w:rsidRDefault="00397CF6" w:rsidP="00397CF6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taktowania, ilości i pojemności pamięci RAM</w:t>
            </w:r>
          </w:p>
          <w:p w:rsidR="00397CF6" w:rsidRPr="000B3683" w:rsidRDefault="00397CF6" w:rsidP="00397CF6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modelu dysku SSD</w:t>
            </w:r>
          </w:p>
          <w:p w:rsidR="00397CF6" w:rsidRPr="000B3683" w:rsidRDefault="00397CF6" w:rsidP="00397CF6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 xml:space="preserve">zachowanie modelu płyty głównej </w:t>
            </w:r>
          </w:p>
          <w:p w:rsidR="00397CF6" w:rsidRPr="000B3683" w:rsidRDefault="00397CF6" w:rsidP="00397CF6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</w:rPr>
            </w:pPr>
            <w:r w:rsidRPr="000B3683">
              <w:rPr>
                <w:rFonts w:ascii="Times New Roman" w:hAnsi="Times New Roman" w:cs="Times New Roman"/>
                <w:color w:val="000000"/>
              </w:rPr>
              <w:t>zachowanie rodziny systemu operacyjnego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Pamięć RAM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Minimum 8GB DDR4 z możliwością rozbudowy do min. 32GB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Minimum 2 gniazda pamięci RAM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Karta graficzna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Karta graficzna zintegrowana w procesorze komputera.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  <w:highlight w:val="yellow"/>
              </w:rPr>
              <w:t>Karta musi osiągać w teście SYSMark 25 Creativity minimum 925 punków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Dyski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Dysk SSD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Pojemność: minimum 128GB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Format: m.2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PCIe NVMe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Dysk twardy musi zawierać partycję recovery. Partycja musi zapewniać przywrócenie systemu operacyjnego, zainstalowanego i skonfigurowanego oprogramowania.         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Porty zewnętrzne 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USB 2.0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3x USB 3.2 gen. 1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czytnik kart SD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Audio In/Out (combo)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HDMI 2.0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1x RJ-45 10/100/1000 Mbps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Czytnik kart SD, oraz co najmniej jeden z portów USB powinny być łatwo dostępne, zlokalizowane z boku lub z dołu obudowy.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nie dopuszcza stosowanie adapterów, przejściówek, hubów i innych rozwiązań dodatkowych w celu osiągnięcia liczby i typów wymaganych portów.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Łączność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Sieć przewodowa LAN 10/100/1000 Mbps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Sieć bezprzewodowa WiFi 802.11 a/b/g/n/ac/ax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Sieć Bluetooth 5.0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Obudowa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Obudowa typu All-In-One.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Obudowa wyposażona w złącze blokady Kensington Lock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Suma wymiarów zewnętrznych nie przekraczająca 1000 mm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Regulacja kąta pochylenia: -5 / +25 stopni (tilt)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Wszystkie elementy komputera muszą być zintegrowane w jednej obudowie.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Nie dopuszcza się stosowania komputera typu miniPC wraz z monitorem jako rozwiązanie równoważne. Zamawiający wymaga, aby całe okablowanie było zawarte w bryle komputera i nie występowało poza obudową (z wyłączeniem kabla zasilającego).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Zasilacz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Zewnętrzny zasilacz o mocy nie większej niż 65W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Zestaw klawiatury i myszy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Klawiatura: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Układ klawiszy: QWERTY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104 klawisze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bezprzewodowa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żywotność min. 10 milionów naciśnięć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odporność na zalanie płynami 60ml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składane nóżki zwiększające nachylenie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Mysz: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optyczna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rozdzielczość minimum 1000 dpi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typ: bezprzewodowa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posiadająca co najmniej trzy przyciski w tym rolkę do przewijania z przyciskiem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przystosowana dla prawo i leworęcznych.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Zestaw pochodzący od jednego producenta, działające na jednym adapterze radiowym.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głośniki stereo o mocy min. 2W każdy (łączna wartość 2x2W)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w obudowę komputera gniazdo mikrofonu i słuchawek (1x 3,5mm combo)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Wbudowana w obudowę komputera i wyposażona w mechaniczną przesłonę prywatności kamera o rozdzielczości min. 0,92 MPix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Gwarancja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Minimum 24 miesiące gwarancji producenta komputera świadczona w systemie „door-to-door” lub „on-site”, wraz z dostępem do dedykowanej strony internetowej umożliwiającej sprawdzenie aktualnego statusu naprawy, po podaniu numeru seryjnego.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Gwarancja świadczona na miejscu u Zamawiającego lub w standardzie wysyłkowym.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 przypadku napraw realizowanych wysyłkowo koszt transportu od i do serwisu ponosi producent lub wykonawca.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Serwis urządzeń musi być realizowany przez producenta lub autoryzowanego partnera serwisowego producenta – wymagane oświadczenie producenta sprzętu (lub jego przedstawiciela w Polsce) potwierdzające, że serwis będzie realizowany przez Producenta lub Autoryzowanego Partnera Serwisowego producenta (oświadczenie należy dołączyć do oferty). 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Autoryzowany Partner Serwisowy musi posiadać status autoryzowanego partnera serwisowego producenta komputera. Oświadczenie producenta sprzętu (lub jego przedstawiciela w Polsce) należy dołączyć do oferty.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Serwis urządzeń musi być realizowany zgodnie z wymogami normy ISO9001 – do oferty należy dołączyć dokument potwierdzający, że serwis urządzeń będzie realizowany zgodnie z tą normą.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14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Certyfikaty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9001 dla producenta sprzętu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14001 dla producenta sprzętu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Certyfikat ISO 50001 dla producenta sprzętu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Deklaracja zgodności CE dla sprzętu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Deklaracja zgodności RoHS dla sprzętu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System operacyjny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Microsoft Windows 11 Pro PL w wersji komercyjnej.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zainstalowany przez producenta komputera.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dopuszcza rozwiązanie równoważne: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zainstalowany przez producenta komputera.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Nie wymagający aktywacji za pomocą Internetu lub telefonu.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Zainstalowany system operacyjny, w polskiej wersji językowej.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Dołączony nośnik optyczny (CD/DVD) z instalatorem systemu operacyjnego oraz wszystkimi niezbędnymi do poprawnej pracy zestawu komputerowego sterownikami – parametry techniczne i funkcjonalne systemu.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 operacyjny klasy desktop, 64-bit.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Dostępne dwa rodzaje graficznego interfejsu użytkownika poprzez wbudowane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mechanizmy, bez użycia dodatkowych aplikacji, w tym: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klasyczny, umożliwiający obsługę przy pomocy klawiatury i myszy;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dotykowy umożliwiający sterowanie dotykiem na urządzeniach typu tablet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lub monitorach dotykowych.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Interfejsy użytkownika dostępne w wielu językach do wyboru, w tym: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polskim;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angielskim.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Zlokalizowane w języku polskim, co najmniej następujące elementy: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menu;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odtwarzacz multimediów;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3) pomoc;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4) komunikaty systemowe.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system pomocy w języku polskim.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Graficzne środowisko instalacji i konfiguracji dostępne w języku polskim.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Funkcje związane z obsługą komputerów typu tablet, z wbudowanym modułem „uczenia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się” pisma użytkownika – obsługa języka polskiego.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Funkcjonalność rozpoznawania mowy, pozwalającą na sterowanie komputerem głosowo, wraz z modułem „uczenia się” głosu użytkownika.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dokonywania bezpłatnych aktualizacji i poprawek w ramach wersji systemu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operacyjnego poprzez Internet, mechanizmem udostępnianym przez producenta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systemu z możliwością wyboru instalowanych poprawek oraz mechanizmem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sprawdzającym, które z poprawek są potrzebne.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Dostępność bezpłatnych biuletynów bezpieczeństwa związanych z działaniem systemu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operacyjnego.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Wbudowana zapora internetowa (firewall) dla ochrony połączeń internetowych.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Zintegrowana z systemem operacyjnym konsola do zarządzania ustawieniami zapory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 regułami IP v4 i v6.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mechanizmy ochrony antywirusowej i przeciw złośliwemu oprogramowaniu z zapewnionymi bezpłatnymi aktualizacjami.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większości powszechnie używanych urządzeń peryferyjnych (drukarek,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urządzeń sieciowych, standardów USB, Plug&amp;Play, Wi-Fi).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Funkcjonalność automatycznej zmiany domyślnej drukarki w zależności od sieci,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 której podłączony jest komputer.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zarządzania stacją roboczą poprzez polityki grupowe – przez politykę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rozumiemy zestaw reguł definiujących lub ograniczających funkcjonalność systemu lub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aplikacji.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Rozbudowane, definiowalne polityki bezpieczeństwa – polityki dla systemu operacyjnego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i dla wskazanych aplikacji.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zdalnej automatycznej instalacji, konfiguracji, administrowania oraz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aktualizowania systemu, zgodnie z określonymi uprawnieniami poprzez polityki grupowe.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Zabezpieczony hasłem hierarchiczny dostęp do systemu, konta i profile użytkowników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zarządzane zdalnie.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pracy systemu w trybie ochrony kont użytkowników.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 pozwalający użytkownikowi zarejestrowanego w systemie przedsiębiorstwa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/instytucji urządzenia na uprawniony dostęp do zasobów tego systemu.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Zintegrowany z systemem moduł wyszukiwania informacji (plików różnego typu, tekstów,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metadanych) dostępny z kilku poziomów, w tym: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poziom menu;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poziom otwartego okna systemu operacyjnego.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system wyszukiwania oparty na konfigurowalnym przez użytkownika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module indeksacji zasobów lokalnych.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Zintegrowany z systemem operacyjnym moduł synchronizacji komputera z urządzeniami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zewnętrznymi.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Obsługa standardu NFC (near field communication).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Możliwość przystosowania stanowiska dla osób niepełnosprawnych (np. słabo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widzących).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IPSEC oparte na politykach – wdrażanie IPSEC oparte na zestawach reguł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definiujących ustawienia zarządzanych w sposób centralny.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Automatyczne występowanie i używanie (wystawianie) certyfikatów PKI X.509.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 logowania do domeny w oparciu o: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1) login i hasło;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2) karty z certyfikatami (smartcard);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3) wirtualne karty (logowanie w oparciu o certyfikat chroniony poprzez moduł TPM).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Mechanizmy wieloelementowego uwierzytelniania.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uwierzytelniania na bazie Kerberos v. 5.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do uwierzytelnienia urządzenia na bazie certyfikatu.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algorytmów Suite B (RFC 4869).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wbudowanej zapory ogniowej dla Internet Key Exchange v. 2 (IKEv2)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dla warstwy transportowej IPsec.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narzędzia służące do administracji, do wykonywania kopii zapasowych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polityk i ich odtwarzania oraz generowania raportów z ustawień polityk.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środowisk Java i .NET Framework 4.x – możliwość uruchomienia aplikacji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działających we wskazanych środowiskach.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Wsparcie dla JScript i VBScript – możliwość uruchamiania interpretera poleceń.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Zdalna pomoc i współdzielenie aplikacji – możliwość zdalnego przejęcia sesji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zalogowanego użytkownika celem rozwiązania problemu z komputerem.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Rozwiązanie służące do automatycznego zbudowania obrazu systemu wraz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aplikacjami. Obraz systemu służyć ma do automatycznego upowszechnienia systemu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operacyjnego inicjowanego i wykonywanego w całości poprzez sieć komputerową.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Rozwiązanie umożliwiające wdrożenie nowego obrazu poprzez zdalną instalację.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Transakcyjny system plików pozwalający na stosowanie przydziałów (ang. quota)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na dysku dla użytkowników oraz zapewniający niezawodność i pozwalający tworzyć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kopie zapasowe.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Zarządzanie kontami użytkowników sieci oraz urządzeniami sieciowymi tj. drukarki,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modemy, woluminy dyskowe, usługi katalogowe.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Udostępnianie modemu.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oprogramowanie do tworzenia kopii zapasowych (Backup); automatyczne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wykonywanie kopii plików z możliwością automatycznego przywrócenia wersji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wcześniejszej.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przywracania obrazu plików systemowych do uprzednio zapisanej postaci.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lastRenderedPageBreak/>
              <w:t>Identyfikacja sieci komputerowych, do których jest podłączony system operacyjny,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zapamiętywanie ustawień i przypisywanie do min. 3 kategorii bezpieczeństwa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(z predefiniowanymi odpowiednio do kategorii ustawieniami zapory sieciowej,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udostępniania plików itp.).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blokowania lub dopuszczania dowolnych urządzeń peryferyjnych za pomocą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polityk grupowych (np. przy użyciu numerów identyfikacyjnych sprzętu).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Wbudowany mechanizm wirtualizacji typu hypervisor, umożliwiający, zgodnie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uprawnieniami licencyjnymi, uruchomienie do 4 maszyn wirtualnych.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Mechanizm szyfrowania dysków wewnętrznych i zewnętrznych z możliwością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szyfrowania ograniczonego do danych użytkownika.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w system narzędzie do szyfrowania partycji systemowych komputera,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 możliwością przechowywania certyfikatów w układzie TPM (Trusted Platform Module)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 wersji minimum 1.2 lub na kluczach pamięci przenośnej USB.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Wbudowane w system narzędzie do szyfrowania dysków przenośnych, z możliwością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centralnego zarządzania poprzez polityki grupowe, pozwalające na wymuszenie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szyfrowania dysków przenośnych.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tworzenia i przechowywania kopii zapasowych kluczy odzyskiwania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do szyfrowania partycji w usługach katalogowych.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instalowania dodatkowych języków interfejsu systemu operacyjnego oraz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możliwość zmiany języka bez konieczności reinsatalacji systemu.</w:t>
            </w:r>
          </w:p>
          <w:p w:rsidR="00397CF6" w:rsidRPr="000B3683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Pełne wsparcie dla usługi Active Directory</w:t>
            </w:r>
          </w:p>
        </w:tc>
      </w:tr>
      <w:tr w:rsidR="00397CF6" w:rsidRPr="000B3683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16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Procedura testowania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Testy SYSmark® 25 muszą być wykonane w konfiguracji komputera identycznej z wymaganą przy rozdzielczości ekranu 1920x1080 pixeli/60 Hz, 32-bitowej głebi koloru.</w:t>
            </w:r>
          </w:p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Wymaga się przeprowadzenia testów SYSmark® 25 na systemie operacyjnym Windows 11 w wersji zgodnej z oferowaną (Home, Professional lub Edu), ale nie starszym wydaniem niż 21H2. </w:t>
            </w:r>
            <w:r w:rsidRPr="000B3683">
              <w:rPr>
                <w:rFonts w:ascii="Times New Roman" w:hAnsi="Times New Roman" w:cs="Times New Roman"/>
              </w:rPr>
              <w:br/>
              <w:t>Testy muszą zostać wykonane z włączonymi wszystkimi ustawieniami z zakładki „Required” oraz „Recommended”. Nie dopuszcza się w teście używania żadnej opcji z zakładki „Optional”.</w:t>
            </w:r>
          </w:p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Nie dopuszcza się modyfikacji ustawień BIOS (overclockingu) w celu osiągnięcia wyższej wydajności urządzenia.</w:t>
            </w:r>
          </w:p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W przypadku użycia przez Wykonawcę testu BAPCo do oceny wydajności Zamawiający zastrzega sobie, iż w celu sprawdzenia poprawności przeprowadzonych testów Wykonawca musi dostarczyć Zamawiającemu oprogramowanie testujące wraz z licencją, zestaw komputerowy w konfiguracji identycznej z wymaganą oraz dokładne opisy użytych testów wraz z wynikami w formacie PDF w terminie nie dłuższym niż 7 dni od otrzymania zawiadomienia od Zamawiającego.</w:t>
            </w:r>
          </w:p>
        </w:tc>
      </w:tr>
      <w:tr w:rsidR="00397CF6" w:rsidRPr="00D67225" w:rsidTr="00397CF6">
        <w:trPr>
          <w:trHeight w:val="28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D67225" w:rsidRDefault="00397CF6" w:rsidP="00397CF6">
            <w:pPr>
              <w:numPr>
                <w:ilvl w:val="0"/>
                <w:numId w:val="1"/>
              </w:numPr>
              <w:spacing w:after="0"/>
              <w:ind w:left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Default="00397CF6" w:rsidP="004949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Wymagania dodatkowe</w:t>
            </w:r>
          </w:p>
        </w:tc>
        <w:tc>
          <w:tcPr>
            <w:tcW w:w="3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>Zamawiający nie dopuszcza osiągnięcia wymaganych portów, złącz, gniazd rozszerzeń za pomocą adapterów, przejściówek, czy innych urządzeń peryferyjnych.</w:t>
            </w:r>
          </w:p>
          <w:p w:rsidR="00397CF6" w:rsidRPr="000B3683" w:rsidRDefault="00397CF6" w:rsidP="0049490B">
            <w:pPr>
              <w:tabs>
                <w:tab w:val="left" w:pos="708"/>
                <w:tab w:val="left" w:pos="1416"/>
                <w:tab w:val="left" w:pos="2124"/>
                <w:tab w:val="left" w:pos="286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0B3683">
              <w:rPr>
                <w:rFonts w:ascii="Times New Roman" w:hAnsi="Times New Roman" w:cs="Times New Roman"/>
              </w:rPr>
              <w:t xml:space="preserve">Zamawiający zastrzega sobie prawo do sprawdzenia reżimu gwarancyjnego producenta oraz dostarczonej konfiguracji na </w:t>
            </w:r>
            <w:r w:rsidRPr="000B3683">
              <w:rPr>
                <w:rFonts w:ascii="Times New Roman" w:hAnsi="Times New Roman" w:cs="Times New Roman"/>
              </w:rPr>
              <w:lastRenderedPageBreak/>
              <w:t>dedykowanej stronie internetowej producenta sprzętu lub poprzez wystąpienie o stosowną informację do producenta.</w:t>
            </w:r>
          </w:p>
        </w:tc>
      </w:tr>
    </w:tbl>
    <w:p w:rsidR="009B0ED3" w:rsidRDefault="009B0ED3" w:rsidP="00DF63B5"/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58"/>
        <w:gridCol w:w="8002"/>
      </w:tblGrid>
      <w:tr w:rsidR="00397CF6" w:rsidRPr="00A6382F" w:rsidTr="00397CF6">
        <w:tc>
          <w:tcPr>
            <w:tcW w:w="584" w:type="pct"/>
          </w:tcPr>
          <w:p w:rsidR="00397CF6" w:rsidRPr="00A6382F" w:rsidRDefault="00397CF6" w:rsidP="0049490B">
            <w:pPr>
              <w:jc w:val="both"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416" w:type="pct"/>
          </w:tcPr>
          <w:p w:rsidR="00397CF6" w:rsidRPr="00A6382F" w:rsidRDefault="00397CF6" w:rsidP="0049490B">
            <w:pPr>
              <w:jc w:val="both"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Oferowane oprogramowanie biurowe – ilość 4 sztuki</w:t>
            </w:r>
          </w:p>
        </w:tc>
      </w:tr>
      <w:tr w:rsidR="00397CF6" w:rsidRPr="00A6382F" w:rsidTr="00397CF6">
        <w:tc>
          <w:tcPr>
            <w:tcW w:w="584" w:type="pct"/>
          </w:tcPr>
          <w:p w:rsidR="00397CF6" w:rsidRPr="00A6382F" w:rsidRDefault="00397CF6" w:rsidP="0049490B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16" w:type="pct"/>
          </w:tcPr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Producent: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97CF6" w:rsidRPr="00A6382F" w:rsidTr="00397CF6">
        <w:tc>
          <w:tcPr>
            <w:tcW w:w="584" w:type="pct"/>
          </w:tcPr>
          <w:p w:rsidR="00397CF6" w:rsidRPr="00A6382F" w:rsidRDefault="00397CF6" w:rsidP="0049490B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16" w:type="pct"/>
          </w:tcPr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Model: </w:t>
            </w:r>
          </w:p>
          <w:p w:rsidR="00397CF6" w:rsidRPr="00A6382F" w:rsidRDefault="00397CF6" w:rsidP="0049490B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397CF6" w:rsidRPr="00A6382F" w:rsidTr="00397CF6">
        <w:tc>
          <w:tcPr>
            <w:tcW w:w="584" w:type="pct"/>
          </w:tcPr>
          <w:p w:rsidR="00397CF6" w:rsidRPr="00A6382F" w:rsidRDefault="00397CF6" w:rsidP="0049490B">
            <w:pPr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16" w:type="pct"/>
          </w:tcPr>
          <w:p w:rsidR="00397CF6" w:rsidRPr="00A6382F" w:rsidRDefault="00397CF6" w:rsidP="0049490B">
            <w:pPr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Oznaczenie producenta:</w:t>
            </w:r>
          </w:p>
          <w:p w:rsidR="00397CF6" w:rsidRPr="00A6382F" w:rsidRDefault="00397CF6" w:rsidP="0049490B">
            <w:pPr>
              <w:contextualSpacing/>
              <w:rPr>
                <w:rFonts w:ascii="Times New Roman" w:hAnsi="Times New Roman" w:cs="Times New Roman"/>
              </w:rPr>
            </w:pPr>
          </w:p>
        </w:tc>
      </w:tr>
      <w:tr w:rsidR="00397CF6" w:rsidRPr="00A6382F" w:rsidTr="00397CF6">
        <w:tc>
          <w:tcPr>
            <w:tcW w:w="584" w:type="pct"/>
          </w:tcPr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16" w:type="pct"/>
          </w:tcPr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Zintegrowany pakiet aplikacji biurowych pochodzących od jednego producenta, w którego skład ma wchodzić min.: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edytor tekstów;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arkusz kalkulacyjny;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narzędzie do przygotowania i prowadzenia prezentacji;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narzędzie do zarządzania informacją osobistą (pocztą elektroniczną, kalendarzem, kontaktami i zadaniami);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pełna polska wersja językowa interfejsu użytkownika, w tym także systemu interaktywnej pomocy w języku polskim.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powinien mieć system aktualizacji darmowych poprawek bezpieczeństwa,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przy czym komunikacja z użytkownikiem powinna odbywać się w języku polskim.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dostępność w Internecie na stronach producenta biuletynów technicznych, w tym opisów poprawek bezpieczeństwa, w języku polskim, a także telefonicznej pomocy technicznej producenta pakietu biurowego świadczonej w języku polskim w dni robocze w godzinach od 8-19 – cena połączenia nie większa niż cena połączenia lokalnego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publicznie znany cykl życia przedstawiony przez producenta dotyczący rozwoju i wsparcia technicznego – w szczególności w zakresie bezpieczeństwa co najmniej 5 lat od daty zakupu.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dostosowania pakietu aplikacji biurowych do pracy dla osób niepełnosprawnych np. słabo widzących, zgodnie z wymogami Krajowych Ram Interoperacyjności (WCAG 2.0).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Edytor tekstów musi umożliwiać: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Edycję i formatowanie tekstu w języku polskim wraz z obsługą języka polskiego w zakresie sprawdzania pisowni i poprawności gramatycznej oraz funkcjonalnością słownika wyrazów bliskoznacznych i autokorekty.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 - Wstawianie oraz formatowanie tabel.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 - Wstawianie oraz formatowanie obiektów graficznych.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Wstawianie wykresów i tabel z arkusza kalkulacyjnego (wliczając tabele przestawne).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Automatyczne numerowanie rozdziałów, punktów, akapitów, tabel i rysunków.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Automatyczne tworzenie spisów treści.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Formatowanie nagłówków i stopek stron.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Śledzenie i porównywanie zmian wprowadzonych przez użytkowników w dokumencie.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Nagrywanie, tworzenie i edycję makr automatyzujących wykonywanie czynności.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Określenie układu strony (pionowa/pozioma).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Wydruk dokumentów.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lastRenderedPageBreak/>
              <w:t xml:space="preserve">- Wykonywanie korespondencji seryjnej bazując na danych adresowych pochodzących z arkusza kalkulacyjnego i z narzędzia do zarządzania informacją prywatną.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Zabezpieczenie dokumentów hasłem przed odczytem oraz przed wprowadzaniem modyfikacji.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Arkusz kalkulacyjny musi umożliwiać: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tabelarycznych –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Tworzenie wykresów liniowych (wraz linią trendu), słupkowych, kołowych –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arkuszy kalkulacyjnych zawierających teksty, dane liczbowe oraz formuły przeprowadzające operacje matematyczne, logiczne, tekstowe, statystyczne oraz operacje na danych finansowych i na miarach czasu.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z zewnętrznych źródeł danych (inne arkusze kalkulacyjne, bazy danych zgodne z ODBC, pliki tekstowe, pliki XML, webservice)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Obsługę kostek OLAP oraz tworzenie i edycję kwerend bazodanowych i webowych.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Narzędzia wspomagające analizę statystyczną i finansową, analizę wariantową i rozwiązywanie problemów optymalizacyjnych –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raportów tabeli przestawnych umożliwiających dynamiczną zmianę wymiarów oraz wykresów bazujących na danych z tabeli przestawnych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Wyszukiwanie i zamianę danych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Wykonywanie analiz danych przy użyciu formatowania warunkowego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Nazywanie komórek arkusza i odwoływanie się w formułach po takiej nazwie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Nagrywanie, tworzenie i edycję makr automatyzujących wykonywanie czynności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Formatowanie czasu, daty i wartości finansowych z polskim formatem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Zapis wielu arkuszy kalkulacyjnych w jednym pliku.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Zabezpieczenie dokumentów hasłem przed odczytem oraz przed wprowadzaniem modyfikacji.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Narzędzie do przygotowywania i prowadzenia prezentacji musi umożliwiać: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Przygotowywanie prezentacji multimedialnych, które mogą być prezentowanie przy użyciu projektora multimedialnego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Drukowanie w formacie umożliwiającym robienie notatek –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Zapisanie jako prezentacja tylko do odczytu.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Nagrywanie narracji i dołączanie jej do prezentacji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Opatrywanie slajdów notatkami dla prezentera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Umieszczanie i formatowanie tekstów, obiektów graficznych, tabel, nagrań dźwiękowych i wideo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Umieszczanie tabel i wykresów pochodzących z arkusza kalkulacyjnego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Odświeżenie wykresu znajdującego się w prezentacji po zmianie danych w źródłowym arkuszu kalkulacyjnym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tworzenia animacji obiektów i całych slajdów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Prowadzenie prezentacji w trybie prezentera, gdzie slajdy są widoczne na jednym monitorze lub projektorze, a na drugim widoczne są slajdy i notatki prezentera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Narzędzie do zarządzania informacją prywatną (pocztą elektroniczną, kalendarzem, kontaktami i zadaniami) musi umożliwiać: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Pobieranie i wysyłanie poczty elektronicznej z serwera pocztowego, -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Przechowywanie wiadomości na serwerze lub w lokalnym pliku tworzonym z zastosowaniem efektywnej kompresji danych, -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lastRenderedPageBreak/>
              <w:t xml:space="preserve">- Filtrowanie niechcianej poczty elektronicznej (SPAM) oraz określanie listy zablokowanych i bezpiecznych nadawców,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Tworzenie katalogów, pozwalających katalogować pocztę elektroniczną, -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Automatyczne grupowanie poczty o tym samym tytule,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Tworzenie reguł przenoszących automatycznie nową pocztę elektroniczną do określonych katalogów bazując na słowach zawartych w tytule, adresie nadawcy i odbiorcy,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Oflagowanie poczty elektronicznej z określeniem terminu przypomnienia, oddzielnie dla nadawcy i adresatów, 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Mechanizm ustalania liczby wiadomości, które mają być synchronizowane lokalnie,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Zarządzanie kalendarzem, -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Udostępnianie kalendarza innym użytkownikom z możliwością określania uprawnień użytkowników,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Przeglądanie kalendarza innych użytkowników,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Zapraszanie uczestników na spotkanie, co po ich akceptacji powoduje automatyczne wprowadzenie spotkania w ich kalendarzach,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Zarządzanie listą zadań,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Zlecanie zadań innym użytkownikom, -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Zarządzanie listą kontaktów, -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Udostępnianie listy kontaktów innym użytkownikom,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 xml:space="preserve">- Przeglądanie listy kontaktów innych użytkowników, </w:t>
            </w:r>
          </w:p>
          <w:p w:rsidR="00397CF6" w:rsidRPr="00A6382F" w:rsidRDefault="00397CF6" w:rsidP="0049490B">
            <w:pPr>
              <w:spacing w:line="276" w:lineRule="auto"/>
              <w:contextualSpacing/>
              <w:rPr>
                <w:rFonts w:ascii="Times New Roman" w:hAnsi="Times New Roman" w:cs="Times New Roman"/>
              </w:rPr>
            </w:pPr>
            <w:r w:rsidRPr="00A6382F">
              <w:rPr>
                <w:rFonts w:ascii="Times New Roman" w:hAnsi="Times New Roman" w:cs="Times New Roman"/>
              </w:rPr>
              <w:t>- Możliwość przesyłania kontaktów innym użytkowników.</w:t>
            </w:r>
          </w:p>
        </w:tc>
      </w:tr>
    </w:tbl>
    <w:p w:rsidR="00300A91" w:rsidRDefault="00300A9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40"/>
        <w:gridCol w:w="2497"/>
        <w:gridCol w:w="5923"/>
      </w:tblGrid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Lp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 xml:space="preserve">Oferowany </w:t>
            </w:r>
            <w:r w:rsidRPr="00F93665">
              <w:rPr>
                <w:rFonts w:ascii="Times New Roman" w:hAnsi="Times New Roman" w:cs="Times New Roman"/>
                <w:bCs/>
              </w:rPr>
              <w:t>Zasilacz awaryjny UPS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Wymagane p</w:t>
            </w:r>
            <w:r w:rsidRPr="00F93665">
              <w:rPr>
                <w:rFonts w:ascii="Times New Roman" w:hAnsi="Times New Roman" w:cs="Times New Roman"/>
              </w:rPr>
              <w:t xml:space="preserve">arametry oferowanego 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F93665">
              <w:rPr>
                <w:rFonts w:ascii="Times New Roman" w:hAnsi="Times New Roman" w:cs="Times New Roman"/>
                <w:bCs/>
              </w:rPr>
              <w:t>asilacza awaryjnego UPS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</w:rPr>
              <w:t>Moc pozorna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550 VA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Moc czynna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330 W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Architektura UPS-a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line-interactive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Liczba faz na wejściu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1 (230V)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przełączenia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Nie więcej niż 6 ms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podtrzymania (obciążenie 100%)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Minimum 1 min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Czas ładowania do 100%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Nie więcej niż 8h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Typ obudowy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Tower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Zabezpieczenia / filtry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Przeciwprzeciążeniowe</w:t>
            </w:r>
          </w:p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Przeciwzwarciowe</w:t>
            </w:r>
          </w:p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Przeciwzwarciowe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Funkcje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Zimny start</w:t>
            </w:r>
          </w:p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Automatyczna regulacja napięcia (AVR)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Porty zasilania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4 x IEC 320 C13 (10A)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Gniazda komunikacyjne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93665">
              <w:rPr>
                <w:rFonts w:ascii="Times New Roman" w:hAnsi="Times New Roman" w:cs="Times New Roman"/>
                <w:lang w:val="en-US"/>
              </w:rPr>
              <w:t>1 x USB HID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Wymiary i waga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Waga nie więcej niż 4kg z akumulatorami</w:t>
            </w:r>
          </w:p>
        </w:tc>
      </w:tr>
      <w:tr w:rsidR="00397CF6" w:rsidRPr="00F93665" w:rsidTr="00397CF6">
        <w:trPr>
          <w:trHeight w:val="14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F93665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tabs>
                <w:tab w:val="left" w:pos="213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F6" w:rsidRPr="00F93665" w:rsidRDefault="00397CF6" w:rsidP="004949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93665">
              <w:rPr>
                <w:rFonts w:ascii="Times New Roman" w:hAnsi="Times New Roman" w:cs="Times New Roman"/>
              </w:rPr>
              <w:t>2 lata gwarancji producenta.</w:t>
            </w:r>
          </w:p>
        </w:tc>
      </w:tr>
    </w:tbl>
    <w:p w:rsidR="00397CF6" w:rsidRDefault="00397CF6"/>
    <w:sectPr w:rsidR="00397CF6" w:rsidSect="009541BE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383" w:rsidRDefault="00FB5383" w:rsidP="009541BE">
      <w:pPr>
        <w:spacing w:after="0" w:line="240" w:lineRule="auto"/>
      </w:pPr>
      <w:r>
        <w:separator/>
      </w:r>
    </w:p>
  </w:endnote>
  <w:endnote w:type="continuationSeparator" w:id="0">
    <w:p w:rsidR="00FB5383" w:rsidRDefault="00FB5383" w:rsidP="00954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ll Replica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383" w:rsidRDefault="00FB5383" w:rsidP="009541BE">
      <w:pPr>
        <w:spacing w:after="0" w:line="240" w:lineRule="auto"/>
      </w:pPr>
      <w:r>
        <w:separator/>
      </w:r>
    </w:p>
  </w:footnote>
  <w:footnote w:type="continuationSeparator" w:id="0">
    <w:p w:rsidR="00FB5383" w:rsidRDefault="00FB5383" w:rsidP="00954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45BAB"/>
    <w:multiLevelType w:val="hybridMultilevel"/>
    <w:tmpl w:val="044C2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1100D"/>
    <w:multiLevelType w:val="hybridMultilevel"/>
    <w:tmpl w:val="CE24E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C2ED1"/>
    <w:multiLevelType w:val="multilevel"/>
    <w:tmpl w:val="233AEA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CA4413"/>
    <w:multiLevelType w:val="hybridMultilevel"/>
    <w:tmpl w:val="92FEB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F19E8"/>
    <w:multiLevelType w:val="hybridMultilevel"/>
    <w:tmpl w:val="5F70AAA0"/>
    <w:lvl w:ilvl="0" w:tplc="0C9063B6">
      <w:start w:val="1"/>
      <w:numFmt w:val="decimal"/>
      <w:lvlText w:val="%1."/>
      <w:lvlJc w:val="left"/>
      <w:pPr>
        <w:ind w:left="1068" w:hanging="708"/>
      </w:pPr>
    </w:lvl>
    <w:lvl w:ilvl="1" w:tplc="5FB64BBC">
      <w:start w:val="1"/>
      <w:numFmt w:val="lowerLetter"/>
      <w:lvlText w:val="%2."/>
      <w:lvlJc w:val="left"/>
      <w:pPr>
        <w:ind w:left="1788" w:hanging="708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D05646"/>
    <w:multiLevelType w:val="hybridMultilevel"/>
    <w:tmpl w:val="F3D4B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EA3"/>
    <w:rsid w:val="00042610"/>
    <w:rsid w:val="000F3EA3"/>
    <w:rsid w:val="0014197B"/>
    <w:rsid w:val="00182C6A"/>
    <w:rsid w:val="00196783"/>
    <w:rsid w:val="001D585B"/>
    <w:rsid w:val="001E6300"/>
    <w:rsid w:val="002F72D4"/>
    <w:rsid w:val="00300A91"/>
    <w:rsid w:val="00397CF6"/>
    <w:rsid w:val="003F7F2C"/>
    <w:rsid w:val="00401885"/>
    <w:rsid w:val="00404B4A"/>
    <w:rsid w:val="005E2ABA"/>
    <w:rsid w:val="00625317"/>
    <w:rsid w:val="00635DAC"/>
    <w:rsid w:val="00657FA0"/>
    <w:rsid w:val="00704DF6"/>
    <w:rsid w:val="007A564B"/>
    <w:rsid w:val="009541BE"/>
    <w:rsid w:val="009B08C9"/>
    <w:rsid w:val="009B0ED3"/>
    <w:rsid w:val="00A70312"/>
    <w:rsid w:val="00B8209F"/>
    <w:rsid w:val="00B93E03"/>
    <w:rsid w:val="00BB476C"/>
    <w:rsid w:val="00BE1425"/>
    <w:rsid w:val="00D469E7"/>
    <w:rsid w:val="00D67225"/>
    <w:rsid w:val="00DF63B5"/>
    <w:rsid w:val="00EC07F9"/>
    <w:rsid w:val="00F51D16"/>
    <w:rsid w:val="00F9351C"/>
    <w:rsid w:val="00FB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BAFF97-DC0B-4F75-8F5C-780CDF09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E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3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EA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1BE"/>
  </w:style>
  <w:style w:type="paragraph" w:styleId="Stopka">
    <w:name w:val="footer"/>
    <w:basedOn w:val="Normalny"/>
    <w:link w:val="StopkaZnak"/>
    <w:uiPriority w:val="99"/>
    <w:unhideWhenUsed/>
    <w:rsid w:val="00954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1BE"/>
  </w:style>
  <w:style w:type="paragraph" w:styleId="Akapitzlist">
    <w:name w:val="List Paragraph"/>
    <w:aliases w:val="Numerowanie,List Paragraph,Akapit z listą BS"/>
    <w:basedOn w:val="Normalny"/>
    <w:link w:val="AkapitzlistZnak"/>
    <w:uiPriority w:val="34"/>
    <w:qFormat/>
    <w:rsid w:val="00DF63B5"/>
    <w:pPr>
      <w:suppressAutoHyphens/>
      <w:spacing w:before="120" w:after="120" w:line="240" w:lineRule="auto"/>
      <w:ind w:left="720"/>
      <w:contextualSpacing/>
      <w:jc w:val="both"/>
    </w:pPr>
    <w:rPr>
      <w:rFonts w:eastAsia="Times New Roman" w:cs="Times New Roman"/>
      <w:szCs w:val="20"/>
      <w:lang w:val="en-GB" w:eastAsia="ar-SA"/>
    </w:rPr>
  </w:style>
  <w:style w:type="character" w:customStyle="1" w:styleId="AkapitzlistZnak">
    <w:name w:val="Akapit z listą Znak"/>
    <w:aliases w:val="Numerowanie Znak,List Paragraph Znak,Akapit z listą BS Znak"/>
    <w:link w:val="Akapitzlist"/>
    <w:uiPriority w:val="34"/>
    <w:qFormat/>
    <w:locked/>
    <w:rsid w:val="00DF63B5"/>
    <w:rPr>
      <w:rFonts w:eastAsia="Times New Roman" w:cs="Times New Roman"/>
      <w:szCs w:val="20"/>
      <w:lang w:val="en-GB" w:eastAsia="ar-SA"/>
    </w:rPr>
  </w:style>
  <w:style w:type="paragraph" w:customStyle="1" w:styleId="Tabelapozycja">
    <w:name w:val="Tabela pozycja"/>
    <w:basedOn w:val="Normalny"/>
    <w:rsid w:val="00DF63B5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customStyle="1" w:styleId="Default">
    <w:name w:val="Default"/>
    <w:rsid w:val="00DF63B5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Hipercze">
    <w:name w:val="Hyperlink"/>
    <w:rsid w:val="009B0ED3"/>
    <w:rPr>
      <w:color w:val="0000FF"/>
      <w:u w:val="single"/>
    </w:rPr>
  </w:style>
  <w:style w:type="paragraph" w:customStyle="1" w:styleId="Pa3">
    <w:name w:val="Pa3"/>
    <w:basedOn w:val="Default"/>
    <w:next w:val="Default"/>
    <w:uiPriority w:val="99"/>
    <w:rsid w:val="009B0ED3"/>
    <w:pPr>
      <w:spacing w:line="161" w:lineRule="atLeast"/>
    </w:pPr>
    <w:rPr>
      <w:rFonts w:ascii="Dell Replica Light" w:hAnsi="Dell Replica Light" w:cstheme="minorBidi"/>
      <w:color w:val="auto"/>
    </w:rPr>
  </w:style>
  <w:style w:type="table" w:styleId="Tabela-Siatka">
    <w:name w:val="Table Grid"/>
    <w:basedOn w:val="Standardowy"/>
    <w:uiPriority w:val="59"/>
    <w:rsid w:val="009B0E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DCC3-95A8-461D-8119-5C31C100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2934</Words>
  <Characters>17608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20501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4</cp:revision>
  <dcterms:created xsi:type="dcterms:W3CDTF">2023-01-23T09:40:00Z</dcterms:created>
  <dcterms:modified xsi:type="dcterms:W3CDTF">2023-03-23T10:34:00Z</dcterms:modified>
</cp:coreProperties>
</file>