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EA3" w:rsidRDefault="000F3EA3" w:rsidP="000F3EA3">
      <w:pPr>
        <w:tabs>
          <w:tab w:val="left" w:pos="1815"/>
        </w:tabs>
        <w:ind w:right="-142"/>
      </w:pPr>
      <w:bookmarkStart w:id="0" w:name="_GoBack"/>
      <w:bookmarkEnd w:id="0"/>
      <w:r>
        <w:tab/>
      </w:r>
      <w:r w:rsidRPr="00F00A94">
        <w:rPr>
          <w:noProof/>
          <w:lang w:eastAsia="pl-PL"/>
        </w:rPr>
        <w:drawing>
          <wp:inline distT="0" distB="0" distL="0" distR="0">
            <wp:extent cx="5722620" cy="563880"/>
            <wp:effectExtent l="1905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FA0" w:rsidRPr="00657FA0" w:rsidRDefault="000F3EA3" w:rsidP="00657FA0">
      <w:pPr>
        <w:shd w:val="clear" w:color="auto" w:fill="FFFFFF"/>
        <w:tabs>
          <w:tab w:val="left" w:pos="341"/>
        </w:tabs>
        <w:spacing w:line="274" w:lineRule="exact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Zał. nr 2</w:t>
      </w:r>
      <w:r w:rsidRPr="00ED5C2A">
        <w:rPr>
          <w:rFonts w:ascii="Times New Roman" w:hAnsi="Times New Roman" w:cs="Times New Roman"/>
          <w:spacing w:val="-2"/>
          <w:sz w:val="24"/>
          <w:szCs w:val="24"/>
        </w:rPr>
        <w:t xml:space="preserve"> do zap. ofertowego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ab/>
      </w:r>
    </w:p>
    <w:p w:rsidR="00657FA0" w:rsidRPr="00657FA0" w:rsidRDefault="00657FA0" w:rsidP="00657FA0">
      <w:pPr>
        <w:ind w:right="-286"/>
        <w:rPr>
          <w:rFonts w:ascii="Times New Roman" w:hAnsi="Times New Roman" w:cs="Times New Roman"/>
          <w:spacing w:val="-2"/>
          <w:sz w:val="24"/>
          <w:szCs w:val="24"/>
        </w:rPr>
      </w:pPr>
      <w:r w:rsidRPr="00F00A94">
        <w:rPr>
          <w:rFonts w:ascii="Times New Roman" w:hAnsi="Times New Roman" w:cs="Times New Roman"/>
          <w:spacing w:val="-2"/>
          <w:sz w:val="24"/>
          <w:szCs w:val="24"/>
        </w:rPr>
        <w:t xml:space="preserve">Znak sprawy: </w:t>
      </w:r>
      <w:r w:rsidR="00F51D1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35DAC">
        <w:rPr>
          <w:rFonts w:ascii="Times New Roman" w:hAnsi="Times New Roman" w:cs="Times New Roman"/>
          <w:sz w:val="24"/>
          <w:szCs w:val="24"/>
        </w:rPr>
        <w:t>RPK.1.263.1.2023</w:t>
      </w:r>
    </w:p>
    <w:p w:rsidR="000F3EA3" w:rsidRDefault="000F3EA3" w:rsidP="00657FA0">
      <w:pPr>
        <w:tabs>
          <w:tab w:val="center" w:pos="4535"/>
          <w:tab w:val="right" w:pos="9781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>Opis przedmiotu zamówienia</w:t>
      </w:r>
    </w:p>
    <w:p w:rsidR="00657FA0" w:rsidRDefault="00657FA0" w:rsidP="00657FA0">
      <w:pPr>
        <w:tabs>
          <w:tab w:val="center" w:pos="4535"/>
          <w:tab w:val="right" w:pos="9781"/>
        </w:tabs>
        <w:spacing w:after="0"/>
        <w:jc w:val="center"/>
        <w:rPr>
          <w:rFonts w:cs="Times New Roman"/>
          <w:spacing w:val="-2"/>
          <w:sz w:val="24"/>
          <w:szCs w:val="24"/>
        </w:rPr>
      </w:pPr>
    </w:p>
    <w:p w:rsidR="00704DF6" w:rsidRPr="00EC78F4" w:rsidRDefault="00D67225" w:rsidP="00704DF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d</w:t>
      </w:r>
      <w:r w:rsidR="00657FA0" w:rsidRPr="00C71C85">
        <w:rPr>
          <w:rFonts w:ascii="Times New Roman" w:hAnsi="Times New Roman" w:cs="Times New Roman"/>
          <w:spacing w:val="-2"/>
          <w:sz w:val="24"/>
          <w:szCs w:val="24"/>
        </w:rPr>
        <w:t>ot</w:t>
      </w:r>
      <w:r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657FA0" w:rsidRPr="00C71C85">
        <w:rPr>
          <w:rFonts w:ascii="Times New Roman" w:hAnsi="Times New Roman" w:cs="Times New Roman"/>
          <w:spacing w:val="-2"/>
          <w:sz w:val="24"/>
          <w:szCs w:val="24"/>
        </w:rPr>
        <w:t xml:space="preserve"> zamówienia publicznego pn. </w:t>
      </w:r>
      <w:r w:rsidR="00704DF6"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„Zakup i dostawę </w:t>
      </w:r>
      <w:r w:rsidR="00704DF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4 szt. komputerów  </w:t>
      </w:r>
      <w:r w:rsidR="00704DF6"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Powiatowego Centrum Pomocy Rodzinie w Kamieniu Pomorskim</w:t>
      </w:r>
      <w:r w:rsidR="00704DF6" w:rsidRPr="0040336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704D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dla specjalistów Regionalnego Centrum Kryzysowego</w:t>
      </w:r>
      <w:r w:rsidR="00704DF6"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w ramach zadania pn</w:t>
      </w:r>
      <w:r w:rsidR="00704D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Regionalne</w:t>
      </w:r>
      <w:r w:rsidR="00704DF6"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704D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Pogotowie Kryzysowe</w:t>
      </w:r>
      <w:r w:rsidR="00704DF6"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p w:rsidR="00657FA0" w:rsidRPr="00657FA0" w:rsidRDefault="00657FA0" w:rsidP="00657FA0">
      <w:pPr>
        <w:ind w:right="-28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630"/>
        <w:gridCol w:w="1268"/>
        <w:gridCol w:w="7314"/>
      </w:tblGrid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ED3" w:rsidRPr="00D67225" w:rsidRDefault="009B0ED3" w:rsidP="008862C3">
            <w:pPr>
              <w:pStyle w:val="Tabelapozycja"/>
              <w:spacing w:line="276" w:lineRule="auto"/>
              <w:rPr>
                <w:rFonts w:asciiTheme="minorHAnsi" w:eastAsia="Times New Roman" w:hAnsiTheme="minorHAnsi" w:cstheme="minorHAnsi"/>
                <w:b/>
                <w:szCs w:val="22"/>
                <w:lang w:eastAsia="en-US"/>
              </w:rPr>
            </w:pPr>
            <w:r w:rsidRPr="00D67225">
              <w:rPr>
                <w:rFonts w:asciiTheme="minorHAnsi" w:eastAsia="Times New Roman" w:hAnsiTheme="minorHAnsi" w:cstheme="minorHAnsi"/>
                <w:b/>
                <w:szCs w:val="22"/>
                <w:lang w:eastAsia="en-US"/>
              </w:rPr>
              <w:t>Lp.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ED3" w:rsidRPr="004506A6" w:rsidRDefault="009B0ED3" w:rsidP="008862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92F6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Nazwa komponentu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ED3" w:rsidRPr="004506A6" w:rsidRDefault="009B0ED3" w:rsidP="008862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4506A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wymagane parametry minimalne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 </w:t>
            </w:r>
            <w:r w:rsidRPr="00F92F6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techniczne komputerów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D4F33">
              <w:rPr>
                <w:rFonts w:cstheme="minorHAnsi"/>
                <w:b/>
                <w:sz w:val="20"/>
                <w:szCs w:val="20"/>
              </w:rPr>
              <w:t xml:space="preserve">Typ 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Komputer stacjonarny. W ofercie wymagane jest podanie modelu, symbolu oraz producenta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33247F" w:rsidRDefault="009B0ED3" w:rsidP="008862C3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3247F">
              <w:rPr>
                <w:rFonts w:cstheme="minorHAnsi"/>
                <w:bCs/>
                <w:sz w:val="20"/>
                <w:szCs w:val="20"/>
              </w:rPr>
              <w:t>Zastosowanie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Komputer będzie wykorzystywany dla potrzeb aplikacji biurowych, aplikacji edukacyjnych, aplikacji obliczeniowych, dostępu do Internetu oraz poczty elektronicznej.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33247F" w:rsidRDefault="009B0ED3" w:rsidP="008862C3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3247F">
              <w:rPr>
                <w:rFonts w:cstheme="minorHAnsi"/>
                <w:sz w:val="20"/>
                <w:szCs w:val="20"/>
              </w:rPr>
              <w:t>Wydajność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Oferowany komputer przenośny musi osiągać w teście wydajności :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SYSMARK 25 – wynik min. 1250 – test z przeprowadzonej konfiguracji załączyć do oferty.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 xml:space="preserve">Wymagane testy wydajnościowe wykonawca musi przeprowadzić na automatycznych ustawieniach konfiguratora dołączonego przez firmę BAPCO i przy natywnej rozdzielczości wyświetlacza oraz włączonych wszystkich urządzeniach. Nie dopuszcza się stosowanie overclokingu, oprogramowania wspomagającego pochodzącego z innego źródła niż fabrycznie zainstalowane oprogramowanie przez producenta, ingerowania w  ustawieniach BIOS ( tzn. wyłączanie urządzeń stanowiących pełną konfigurację) jak również w samym środowisku systemu (tzn. zmniejszanie rozdzielczości, jasności i kontrastu itp.). 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Zamawiający zastrzega sobie, iż w celu sprawdzenia poprawności przeprowadzonych wszystkich wymaganych testów Oferent musi dostarczyć Zamawiającemu oprogramowanie testujące, komputer do testu oraz dokładny opis metodyki przeprowadzonego testu wraz z wynikami w celu ich sprawdzenia w terminie nie dłuższym niż 3 dni od otrzymania zawiadomienia od Zamawiającego.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4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33247F" w:rsidRDefault="009B0ED3" w:rsidP="008862C3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3247F">
              <w:rPr>
                <w:rFonts w:cstheme="minorHAnsi"/>
                <w:bCs/>
                <w:sz w:val="20"/>
                <w:szCs w:val="20"/>
              </w:rPr>
              <w:t>Pamięć operacyjna RAM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8GB DDR4 2666Mhz możliwość rozbudowy do min 64GB, min. 4 sloty na pamięć RAM.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5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1937C6" w:rsidRDefault="009B0ED3" w:rsidP="008862C3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937C6">
              <w:rPr>
                <w:rFonts w:cstheme="minorHAnsi"/>
                <w:bCs/>
                <w:sz w:val="20"/>
                <w:szCs w:val="20"/>
              </w:rPr>
              <w:t xml:space="preserve">Parametry </w:t>
            </w:r>
            <w:r w:rsidRPr="001937C6">
              <w:rPr>
                <w:rFonts w:cstheme="minorHAnsi"/>
                <w:bCs/>
                <w:sz w:val="20"/>
                <w:szCs w:val="20"/>
              </w:rPr>
              <w:lastRenderedPageBreak/>
              <w:t>pamięci masowej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lastRenderedPageBreak/>
              <w:t>Dysk SSD M.2 PCIe NVMe Class 35 o pojemności 256GB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6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1937C6" w:rsidRDefault="009B0ED3" w:rsidP="008862C3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937C6">
              <w:rPr>
                <w:rFonts w:cstheme="minorHAnsi"/>
                <w:bCs/>
                <w:sz w:val="20"/>
                <w:szCs w:val="20"/>
              </w:rPr>
              <w:t>Wydajność grafiki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  <w:u w:val="single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Grafika zintegrowana z procesorem powinna umożliwiać pracę dwumonitorową ze wsparciem DirectX 12, OpenGL 4.5, pamięć współdzielona z pamięcią RAM, dynamicznie przydzielana.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7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1937C6" w:rsidRDefault="009B0ED3" w:rsidP="008862C3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937C6">
              <w:rPr>
                <w:rFonts w:cstheme="minorHAnsi"/>
                <w:bCs/>
                <w:sz w:val="20"/>
                <w:szCs w:val="20"/>
              </w:rPr>
              <w:t>Wyposażenie multimedialne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Min 24-bitowa Karta dźwiękowa zintegrowana z płytą główną, zgodna z High Definition.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8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1937C6" w:rsidRDefault="009B0ED3" w:rsidP="008862C3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937C6">
              <w:rPr>
                <w:rFonts w:cstheme="minorHAnsi"/>
                <w:bCs/>
                <w:sz w:val="20"/>
                <w:szCs w:val="20"/>
              </w:rPr>
              <w:t>Obudowa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Typu SFF z obsługą kart PCI Express o niskim profilu, możliwość instalacji minimum dwóch dysków 2,5” lub 3,5”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Obudowa fabrycznie przystosowana do pracy w orientacji pionowej i poziomej. 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Wymiary nie przekraczające: 93cm X 30cm X 34cm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Zasilacz o mocy max. 260W pracujący w sieci 230V 50/60Hz prądu zmiennego i efektywności min. 92% przy obciążeniu zasilacza na poziomie 50% oraz o efektywności min. 82% przy obciążeniu zasilacza na poziomie 100%,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Wyposażona w min. 3 kieszenie z czego min. 2 szt. 5,25” (dopuszcza się zastosowanie jednej kieszeni 5,25” w wersji SLIM dla napędu optycznego),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1 szt. 3,5”.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Obudowa umożliwiająca montaż 3 dysków twardych 3,5” lub 2,5”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Obudowa musi umożliwiać bez narzędziowe otwarcie, demontaż dysków twardych (3,5” oraz 2,5”), napędu optycznego oraz kart rozszerzeń. 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Obudowa musi być wyposażona w czujnik otwarcia.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9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1937C6" w:rsidRDefault="009B0ED3" w:rsidP="008862C3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Zgodność z </w:t>
            </w:r>
            <w:r w:rsidRPr="001937C6">
              <w:rPr>
                <w:rFonts w:cstheme="minorHAnsi"/>
                <w:bCs/>
                <w:sz w:val="20"/>
                <w:szCs w:val="20"/>
              </w:rPr>
              <w:t>systemami operacyjnymi i standardami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Oferowane modele komputerów muszą posiadać certyfikat producenta oferowanego systemu operacyjnego, potwierdzający poprawną współpracę oferowanych modeli komputerów z oferowanym systemem operacyjnym (załączyć wydruk ze strony producenta oprogramowania)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10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1937C6" w:rsidRDefault="009B0ED3" w:rsidP="008862C3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937C6">
              <w:rPr>
                <w:rFonts w:cstheme="minorHAnsi"/>
                <w:bCs/>
                <w:sz w:val="20"/>
                <w:szCs w:val="20"/>
              </w:rPr>
              <w:t>Bezpieczeństwo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Zaimplementowany w BIOS system diagnostyczny z graficznym interfejsem użytkownika dostępny z poziomu szybkiego menu boot’owania, umożliwiający jednoczesne przetestowanie w celu wykrycia usterki zainstalowanych komponentów w oferowanym komputerze bez konieczności uruchamiania systemu operacyjnego. System musi realizować funkcjonalności: sprawdzenie Master Boot Record na gotowość do uruchomienia oferowanego systemu operacyjnego, test procesora, test pamięci, test wentylatora dla procesora, test podłączonego wyświetlacza, test napędu optycznego, test portów USB, </w:t>
            </w:r>
            <w:r w:rsidRPr="000D4F33">
              <w:rPr>
                <w:rFonts w:cstheme="minorHAnsi"/>
                <w:bCs/>
                <w:sz w:val="24"/>
                <w:szCs w:val="24"/>
              </w:rPr>
              <w:lastRenderedPageBreak/>
              <w:t>test dysku twardego, test podłączonych kabli, test podłączonego głośnika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Czujnik otwarcia obudowy musi zbierać logi i zapisywać je w BIOS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lastRenderedPageBreak/>
              <w:t>11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1937C6" w:rsidRDefault="009B0ED3" w:rsidP="008862C3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937C6">
              <w:rPr>
                <w:rFonts w:cstheme="minorHAnsi"/>
                <w:bCs/>
                <w:sz w:val="20"/>
                <w:szCs w:val="20"/>
              </w:rPr>
              <w:t>Wirtualizacja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Sprzętowe wsparcie technologii wirtualizacji realizowane łącznie w procesorze, chipsecie płyty głównej oraz w  BIOS systemu.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12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1937C6" w:rsidRDefault="009B0ED3" w:rsidP="008862C3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  <w:r w:rsidRPr="001937C6">
              <w:rPr>
                <w:rFonts w:cstheme="minorHAnsi"/>
                <w:bCs/>
                <w:sz w:val="20"/>
                <w:szCs w:val="20"/>
              </w:rPr>
              <w:t>BIOS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BIOS zgodny ze specyfikacją UEFI 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-  Możliwość, bez uruchamiania systemu operacyjnego z dysku twardego komputera lub innych podłączonych do niego urządzeń zewnętrznych informacji o: 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modelu komputera, PN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numerze seryjnym,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numerze inwentarzowym (AssetTag),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MAC Adres karty sieciowej,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wersja Biosu wraz z datą produkcji,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zainstalowanym procesorze, jego taktowaniu i ilości rdzeni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ilości pamięci RAM wraz z taktowaniem,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- stanie pracy wentylatora na procesorze 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stanie pracy wentylatora w obudowie komputera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napędach lub dyskach podłączonych do portów SATA (model dysku twardego i napędu optycznego)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Możliwość z poziomu Bios: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wyłączenia/włączenia selektywnego (pojedynczo) portów USB zarówno z przodu jak i z tyłu obudowy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wyłączenia selektywnego (pojedynczego) portów SATA,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wyłączenia karty sieciowej, karty audio, portu szeregowego,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możliwość ustawienia portów USB w jednym z dwóch trybów: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użytkownik może kopiować dane z urządzenia pamięci masowej podłączonego do pamięci USB na komputer ale nie może kopiować danych z komputera na urządzenia pamięci masowej podłączone do portu USB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użytkownik nie może kopiować danych z urządzenia pamięci masowej podłączonego do portu USB na komputer oraz nie może kopiować danych z komputera na urządzenia pamięci masowej 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ustawienia hasła: administratora, Power-On, HDD,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blokady aktualizacji BIOS bez podania hasła administratora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wglądu w system zbierania logów (min. Informacja o update Bios, błędzie wentylatora na procesorze, wyczyszczeniu logów)  z możliwością czyszczenia logów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- alertowania zmiany konfiguracji sprzętowej komputera 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wyboru trybu uruchomienia komputera po utracie zasilania (włącz, wyłącz, poprzedni stan)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- ustawienia trybu wyłączenia komputera w stan niskiego poboru energii 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- zdefiniowania trzech sekwencji bootujących (podstawowa, WOL, po </w:t>
            </w:r>
            <w:r w:rsidRPr="000D4F33">
              <w:rPr>
                <w:rFonts w:cstheme="minorHAnsi"/>
                <w:bCs/>
                <w:sz w:val="24"/>
                <w:szCs w:val="24"/>
              </w:rPr>
              <w:lastRenderedPageBreak/>
              <w:t>awarii)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załadowania optymalnych ustawień Bios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obsługa Bios za pomocą klawiatury i myszy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 bez uruchamiania systemu operacyjnego z dysku twardego komputera lub innych, podłączonych do niego, urządzeń zewnętrznych.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Wizualny system diagnostyczny producenta działający nawet w przypadku uszkodzenia dysku twardego z systemem operacyjnym komputera umożliwiający na wykonanie diagnostyki następujących podzespołów: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• </w:t>
            </w:r>
            <w:r w:rsidRPr="000D4F33">
              <w:rPr>
                <w:rFonts w:cstheme="minorHAnsi"/>
                <w:bCs/>
                <w:sz w:val="24"/>
                <w:szCs w:val="24"/>
              </w:rPr>
              <w:t xml:space="preserve">wykonanie testu pamięci RAM 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•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bCs/>
                <w:sz w:val="24"/>
                <w:szCs w:val="24"/>
              </w:rPr>
              <w:t>test dysku twardego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0D4F33">
              <w:rPr>
                <w:rFonts w:cstheme="minorHAnsi"/>
                <w:bCs/>
                <w:sz w:val="24"/>
                <w:szCs w:val="24"/>
                <w:lang w:val="en-US"/>
              </w:rPr>
              <w:t>•</w:t>
            </w:r>
            <w:r>
              <w:rPr>
                <w:rFonts w:cstheme="minorHAnsi"/>
                <w:bCs/>
                <w:sz w:val="24"/>
                <w:szCs w:val="24"/>
                <w:lang w:val="en-US"/>
              </w:rPr>
              <w:t xml:space="preserve"> </w:t>
            </w:r>
            <w:r w:rsidRPr="000D4F33">
              <w:rPr>
                <w:rFonts w:cstheme="minorHAnsi"/>
                <w:bCs/>
                <w:sz w:val="24"/>
                <w:szCs w:val="24"/>
                <w:lang w:val="en-US"/>
              </w:rPr>
              <w:t xml:space="preserve">test monitora 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0D4F33">
              <w:rPr>
                <w:rFonts w:cstheme="minorHAnsi"/>
                <w:bCs/>
                <w:sz w:val="24"/>
                <w:szCs w:val="24"/>
                <w:lang w:val="en-US"/>
              </w:rPr>
              <w:t>•</w:t>
            </w:r>
            <w:r>
              <w:rPr>
                <w:rFonts w:cstheme="minorHAnsi"/>
                <w:bCs/>
                <w:sz w:val="24"/>
                <w:szCs w:val="24"/>
                <w:lang w:val="en-US"/>
              </w:rPr>
              <w:t xml:space="preserve"> </w:t>
            </w:r>
            <w:r w:rsidRPr="000D4F33">
              <w:rPr>
                <w:rFonts w:cstheme="minorHAnsi"/>
                <w:bCs/>
                <w:sz w:val="24"/>
                <w:szCs w:val="24"/>
                <w:lang w:val="en-US"/>
              </w:rPr>
              <w:t>test magistrali PCI-e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•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bCs/>
                <w:sz w:val="24"/>
                <w:szCs w:val="24"/>
              </w:rPr>
              <w:t>test portów USB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•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bCs/>
                <w:sz w:val="24"/>
                <w:szCs w:val="24"/>
              </w:rPr>
              <w:t xml:space="preserve">test płyty głównej 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Wizualna lub dźwiękowa sygnalizacja w przypadku uszkodzenia bądź błędów któregokolwiek z powyższych podzespołów komputera.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Ponadto system powinien umożliwiać identyfikacje testowanej jednostki i jej komponentów w następującym zakresie: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•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bCs/>
                <w:sz w:val="24"/>
                <w:szCs w:val="24"/>
              </w:rPr>
              <w:t>PC: Producent, model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•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bCs/>
                <w:sz w:val="24"/>
                <w:szCs w:val="24"/>
              </w:rPr>
              <w:t>BIOS: Wersja oraz data wydania Bios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•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bCs/>
                <w:sz w:val="24"/>
                <w:szCs w:val="24"/>
              </w:rPr>
              <w:t>Procesor : Nazwa, taktowanie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•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bCs/>
                <w:sz w:val="24"/>
                <w:szCs w:val="24"/>
              </w:rPr>
              <w:t>Pamięć RAM : Ilość zainstalowanej pamięci RAM, producent oraz numer seryjny poszczególnych kości pamięci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•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bCs/>
                <w:sz w:val="24"/>
                <w:szCs w:val="24"/>
              </w:rPr>
              <w:t>Dysk twardy:  model, numer seryjny, wersja firmware, pojemność, temperatura pracy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•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bCs/>
                <w:sz w:val="24"/>
                <w:szCs w:val="24"/>
              </w:rPr>
              <w:t>Monitor: producent, model, rozdzielczość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System Diagnostyczny działający nawet w przypadku uszkodzenia dysku twardego z systemem operacyjnym komputera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lastRenderedPageBreak/>
              <w:t>13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1937C6" w:rsidRDefault="009B0ED3" w:rsidP="008862C3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  <w:r w:rsidRPr="001937C6">
              <w:rPr>
                <w:rFonts w:cstheme="minorHAnsi"/>
                <w:bCs/>
                <w:sz w:val="20"/>
                <w:szCs w:val="20"/>
              </w:rPr>
              <w:t>Certyfikaty i standardy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9B0ED3" w:rsidRDefault="009B0ED3" w:rsidP="009B0ED3">
            <w:pPr>
              <w:pStyle w:val="Akapitzlist"/>
              <w:numPr>
                <w:ilvl w:val="0"/>
                <w:numId w:val="8"/>
              </w:numPr>
              <w:suppressAutoHyphens w:val="0"/>
              <w:spacing w:before="0" w:after="0" w:line="276" w:lineRule="auto"/>
              <w:ind w:left="0"/>
              <w:rPr>
                <w:rFonts w:cstheme="minorHAnsi"/>
                <w:bCs/>
                <w:sz w:val="24"/>
                <w:szCs w:val="24"/>
                <w:lang w:val="pl-PL"/>
              </w:rPr>
            </w:pPr>
            <w:r w:rsidRPr="009B0ED3">
              <w:rPr>
                <w:rFonts w:cstheme="minorHAnsi"/>
                <w:bCs/>
                <w:sz w:val="24"/>
                <w:szCs w:val="24"/>
                <w:lang w:val="pl-PL"/>
              </w:rPr>
              <w:t>Urządzenia muszą być wyprodukowane zgodnie z normą ISO 9001 oraz ISO 50 001 ( certyfikaty załączyć do oferty)</w:t>
            </w:r>
          </w:p>
          <w:p w:rsidR="009B0ED3" w:rsidRPr="009B0ED3" w:rsidRDefault="009B0ED3" w:rsidP="009B0ED3">
            <w:pPr>
              <w:pStyle w:val="Akapitzlist"/>
              <w:numPr>
                <w:ilvl w:val="0"/>
                <w:numId w:val="8"/>
              </w:numPr>
              <w:suppressAutoHyphens w:val="0"/>
              <w:spacing w:before="0" w:after="0" w:line="276" w:lineRule="auto"/>
              <w:ind w:left="0"/>
              <w:rPr>
                <w:rFonts w:cstheme="minorHAnsi"/>
                <w:bCs/>
                <w:sz w:val="24"/>
                <w:szCs w:val="24"/>
                <w:lang w:val="pl-PL"/>
              </w:rPr>
            </w:pPr>
            <w:r w:rsidRPr="009B0ED3">
              <w:rPr>
                <w:rFonts w:cstheme="minorHAnsi"/>
                <w:bCs/>
                <w:sz w:val="24"/>
                <w:szCs w:val="24"/>
                <w:lang w:val="pl-PL"/>
              </w:rPr>
              <w:t>Deklaracja zgodności CE (załączyć do oferty)</w:t>
            </w:r>
          </w:p>
          <w:p w:rsidR="009B0ED3" w:rsidRPr="009B0ED3" w:rsidRDefault="009B0ED3" w:rsidP="009B0ED3">
            <w:pPr>
              <w:pStyle w:val="Akapitzlist"/>
              <w:numPr>
                <w:ilvl w:val="0"/>
                <w:numId w:val="8"/>
              </w:numPr>
              <w:suppressAutoHyphens w:val="0"/>
              <w:spacing w:before="0" w:after="0" w:line="276" w:lineRule="auto"/>
              <w:ind w:left="0"/>
              <w:rPr>
                <w:rFonts w:cstheme="minorHAnsi"/>
                <w:bCs/>
                <w:sz w:val="24"/>
                <w:szCs w:val="24"/>
                <w:lang w:val="pl-PL"/>
              </w:rPr>
            </w:pPr>
            <w:r w:rsidRPr="009B0ED3">
              <w:rPr>
                <w:rFonts w:cstheme="minorHAnsi"/>
                <w:sz w:val="24"/>
                <w:szCs w:val="24"/>
                <w:lang w:val="pl-PL"/>
              </w:rPr>
              <w:t xml:space="preserve">Potwierdzenie spełnienia kryteriów środowiskowych, w tym zgodności z dyrektywą RoHS Unii Europejskiej o eliminacji substancji niebezpiecznych w postaci oświadczenia producenta jednostki (wg wytycznych Krajowej Agencji Poszanowania Energii S.A., zawartych w dokumencie „Opracowanie propozycji kryteriów środowiskowych dla produktów zużywających energię możliwych do wykorzystania przy formułowaniu specyfikacji na potrzeby zamówień publicznych”, pkt. 3.4.2.1; dokument z grudnia 2006), w szczególności zgodności z </w:t>
            </w:r>
            <w:r w:rsidRPr="009B0ED3">
              <w:rPr>
                <w:rFonts w:cstheme="minorHAnsi"/>
                <w:bCs/>
                <w:sz w:val="24"/>
                <w:szCs w:val="24"/>
                <w:lang w:val="pl-PL"/>
              </w:rPr>
              <w:t>normą ISO 1043-4 dla płyty głównej oraz elementów wykonanych z tworzyw sztucznych o masie powyżej 25 gram</w:t>
            </w:r>
          </w:p>
          <w:p w:rsidR="009B0ED3" w:rsidRPr="009B0ED3" w:rsidRDefault="009B0ED3" w:rsidP="009B0ED3">
            <w:pPr>
              <w:pStyle w:val="Akapitzlist"/>
              <w:numPr>
                <w:ilvl w:val="0"/>
                <w:numId w:val="8"/>
              </w:numPr>
              <w:tabs>
                <w:tab w:val="right" w:pos="8945"/>
              </w:tabs>
              <w:suppressAutoHyphens w:val="0"/>
              <w:spacing w:before="0" w:after="0" w:line="276" w:lineRule="auto"/>
              <w:ind w:left="0"/>
              <w:rPr>
                <w:rFonts w:cstheme="minorHAnsi"/>
                <w:bCs/>
                <w:sz w:val="24"/>
                <w:szCs w:val="24"/>
                <w:lang w:val="pl-PL"/>
              </w:rPr>
            </w:pPr>
            <w:r w:rsidRPr="009B0ED3">
              <w:rPr>
                <w:rStyle w:val="Hipercze"/>
                <w:rFonts w:cstheme="minorHAnsi"/>
                <w:bCs/>
                <w:sz w:val="24"/>
                <w:szCs w:val="24"/>
                <w:lang w:val="pl-PL"/>
              </w:rPr>
              <w:lastRenderedPageBreak/>
              <w:t xml:space="preserve">Certyfikat TCO dla oferowanego modelu – załączyć wydruk ze strony </w:t>
            </w:r>
            <w:hyperlink r:id="rId9" w:history="1">
              <w:r w:rsidRPr="009B0ED3">
                <w:rPr>
                  <w:rStyle w:val="Hipercze"/>
                  <w:rFonts w:cstheme="minorHAnsi"/>
                  <w:bCs/>
                  <w:sz w:val="24"/>
                  <w:szCs w:val="24"/>
                  <w:lang w:val="pl-PL"/>
                </w:rPr>
                <w:t>http://tcodevelopment.com/</w:t>
              </w:r>
            </w:hyperlink>
            <w:r w:rsidRPr="009B0ED3">
              <w:rPr>
                <w:rStyle w:val="Hipercze"/>
                <w:rFonts w:cstheme="minorHAnsi"/>
                <w:bCs/>
                <w:sz w:val="24"/>
                <w:szCs w:val="24"/>
                <w:lang w:val="pl-PL"/>
              </w:rPr>
              <w:t xml:space="preserve"> lub certyfikat TCO ( ze względu na częste zmiany na ww. stronie internetowej dopuszcza się wersję archiwalną)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lastRenderedPageBreak/>
              <w:t>14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1937C6" w:rsidRDefault="009B0ED3" w:rsidP="008862C3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937C6">
              <w:rPr>
                <w:rFonts w:cstheme="minorHAnsi"/>
                <w:bCs/>
                <w:sz w:val="20"/>
                <w:szCs w:val="20"/>
              </w:rPr>
              <w:t>Warunki gwarancji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3-letnia gwarancja producenta z czasem reakcji do końca następnego dnia roboczego, możliwość zgłaszania awarii przez ogólnopolską linię telefoniczna producenta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Czas reakcji serwisu - do końca następnego dnia roboczego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Firma serwisująca musi posiadać ISO 9001: 2015 na świadczenie usług serwisowych oraz posiadać autoryzacje producenta komputera – dokumenty potwierdzające załączyć do oferty.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Oświadczenie, że w przypadku nie wywiązywania się z obowiązków gwarancyjnych oferenta lub firmy serwisującej, przejmie na siebie wszelkie zobowiązania związane z serwisem. 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W przypadku awarii, dyski twarde zostają u Zamawiającego.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Dedykowany portal techniczny, umożliwiający Zamawiającemu zgłaszanie awarii oraz samodzielne zamawianie zamiennych komponentów. 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Możliwość sprawdzenia kompletnych danych o urządzeniu na jednej witrynie internetowej (automatyczna identyfikacja komputera, konfiguracja fabryczna, konfiguracja bieżąca, Rodzaj gwarancji, data wygaśnięcia gwarancji, data produkcji komputera, aktualizacje, diagnostyka, dedykowane oprogramowanie, tworzenie dysku recovery systemu operacyjnego)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15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1937C6" w:rsidRDefault="009B0ED3" w:rsidP="008862C3">
            <w:pPr>
              <w:tabs>
                <w:tab w:val="left" w:pos="213"/>
              </w:tabs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1937C6">
              <w:rPr>
                <w:rFonts w:cstheme="minorHAnsi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Możliwość telefonicznego sprawdzenia konfiguracji sprzętowej komputera oraz warunków gwarancji po podaniu numeru seryjnego bezpośrednio u producenta lub oferenta.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Dostęp do najnowszych sterowników i uaktualnień na stronie producenta zestawu realizowany poprzez podanie na dedykowanej stronie internetowej producenta numeru seryjnego lub modelu komputera – do oferty należy dołączyć link strony.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16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1937C6" w:rsidRDefault="009B0ED3" w:rsidP="008862C3">
            <w:pPr>
              <w:tabs>
                <w:tab w:val="left" w:pos="213"/>
              </w:tabs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System operacyjny - w</w:t>
            </w:r>
            <w:r w:rsidRPr="00333CCC">
              <w:rPr>
                <w:rFonts w:cstheme="minorHAnsi"/>
                <w:bCs/>
                <w:sz w:val="20"/>
                <w:szCs w:val="20"/>
              </w:rPr>
              <w:t xml:space="preserve"> ofercie należy podać nazwę oprogramowania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  <w:bdr w:val="none" w:sz="0" w:space="0" w:color="auto" w:frame="1"/>
              </w:rPr>
            </w:pPr>
            <w:r w:rsidRPr="000D4F33">
              <w:rPr>
                <w:rFonts w:cstheme="minorHAnsi"/>
                <w:bCs/>
                <w:sz w:val="24"/>
                <w:szCs w:val="24"/>
                <w:bdr w:val="none" w:sz="0" w:space="0" w:color="auto" w:frame="1"/>
              </w:rPr>
              <w:t xml:space="preserve">Zainstalowany system operacyjny Windows 11 Professional lub równoważny 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Możliwość dołączenia systemu do usługi katalogowej on-premise lub w chmurze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Zdalna pomoc i współdzielenie aplikacji – możliwość zdalnego przejęcia sesji zalogowanego użytkownika celem rozwiązania problemu z komputerem.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Wbudowana zapora internetowa (firewall) dla ochrony połączeń internetowych, zintegrowana z systemem konsola do zarządzania ustawieniami zapory i regułami IP v4 i v6.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Klucz licencyjny musi być przypisany do komputera i umożliwiać instalację systemu operacyjnego na podstawie nośnika lub zdalnie bez potrzeby ręcznego wpisywania klucza licencyjnego. 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lastRenderedPageBreak/>
              <w:t>Oprogramowanie producenta komputera z nieograniczoną czasowo licencją na użytkowanie umożliwiające: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- upgrade i instalacje wszystkich sterowników, aplikacji dostarczonych w obrazie systemu operacyjnego producenta, BIOS’u z certyfikatem zgodności producenta do najnowszej dostępnej wersji, 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- sprawdzenie przed zainstalowaniem wszystkich sterowników, aplikacji oraz BIOS bezpośrednio na stronie producenta przy użyciu połączenia internetowego z automatycznym przekierowaniem w celu uzyskania informacji o: poprawkach i usprawnieniach dotyczących aktualizacji, dacie wydania ostatniej aktualizacji, priorytecie aktualizacji, zgodności z systemami operacyjnymi                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dostęp do wykazu najnowszych aktualizacji z podziałem na krytyczne (wymagające natychmiastowej instalacji), rekomendowane i opcjonalne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- włączenie/wyłączenie funkcji automatycznego restartu w przypadku, kiedy jest wymagany przy instalacji sterownika, aplikacji 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sprawdzenie historii aktualizacji z informacją, jakie sterowniki były instalowane z dokładną datą i wersją (rewizja wydania)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- dostęp do wykaz wymaganych sterowników, aplikacji, BIOS’u z informacją o zainstalowanej obecnie wersji dla oferowanego komputera z możliwością exportu do pliku o rozszerzeniu *.xml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- dostęp do raportu uwzględniającego informacje o znalezionych, pobranych i zainstalowanych aktualizacjach z informacją, jakich komponentów dotyczyły, możliwość exportu takiego raportu do pliku *.xml 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Raport musi zawierać datę i godzinę podjętych i wykonanych akcji/zadań w przedziale czasowym min. 1 roku.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lastRenderedPageBreak/>
              <w:t>17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Default="009B0ED3" w:rsidP="008862C3">
            <w:pPr>
              <w:tabs>
                <w:tab w:val="left" w:pos="213"/>
              </w:tabs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F3D23">
              <w:rPr>
                <w:rFonts w:ascii="Bookman Old Style" w:hAnsi="Bookman Old Style" w:cstheme="minorHAnsi"/>
                <w:sz w:val="18"/>
                <w:szCs w:val="18"/>
              </w:rPr>
              <w:t>Oprogramowanie zabezpieczające – w formularzu oferty należy podać pełną nazwę oferowanego oprogramowania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System chroniący przed zagrożeniami, posiadający certyfikaty VB100%, OPSWAT, AVLAB +++, AV Comperative Advance +. Silnik musi umożliwiać co najmniej: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• </w:t>
            </w:r>
            <w:r w:rsidRPr="000D4F33">
              <w:rPr>
                <w:rFonts w:cstheme="minorHAnsi"/>
                <w:sz w:val="24"/>
                <w:szCs w:val="24"/>
              </w:rPr>
              <w:t>wykrywanie i blokowania plików ze szkodliwą zawartością, w tym osadzonych/skompresowanych plików, które używają czasie rzeczywistym algorytmów kompresji,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wykrywanie i usuwanie plików typu rootkit oraz złośliwego oprogramowania, również przy użyciu technik behawioralnych,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wykrywanie i usuwanie fałszywego oprogramowania bezpieczeństwa (roguewear)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Szyfrowanie danych: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Oprogramowanie do szyfrowania, chroniące dane rezydujące na punktach końcowych za pomocą silnych algorytmów szyfrowania takich jak AES, RC6, SERPENT i DWAFISH. Pełne szyfrowanie dysków działających m.in. na komputerach z systemem Windows.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Zapobiegające utracie danych z powodu utraty / kradzieży punktu końcowego. Oprogramowanie szyfruje całą zawartość na urządzeniach przenośnych, takich jak Pen Drive'y, dyski USB i udostępnia je tylko autoryzowanym użytkownikom.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lastRenderedPageBreak/>
              <w:t xml:space="preserve">Oprogramowanie umożliwia blokowanie wybranych przez administratora urządzeń zewnętrznych podłączanych do stacji końcowej. 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Oprogramowanie umożliwia zdefiniowanie listy zaufanych urządzeń, które nie będą blokowane podczas podłączanie do stacji końcowej.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Istnieje możliwość blokady zapisywanie plików na zewnętrznych dyskach USB oraz blokada możliwości uruchamiania oprogramowania z takich dysków. Blokada ta powinna umożliwiać korzystanie z pozostałych danych zapisanych na takich dyskach.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Interfejs zarządzania wyświetla monity o zbliżającym się zakończeniu licencji, a także powiadamia o zakończeniu licencji.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Dodatkowy moduł chroniący dane użytkownika przed działaniem oprogramowania ransomware. Działanie modułu polega na ograniczeniu możliwości modyfikowania chronionych plików, tylko procesom systemowym oraz zaufanym aplikacjom.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Możliwość dowolnego zdefiniowania dodatkowo chronionych folderów zawierających wrażliwe dane użytkownika.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Możliwość zdefiniowania zaufanych folderów. Aplikacje uruchamiane z zaufanych folderów mają możliwość modyfikowania plików objętych dodatkową ochroną anyransomware.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Zaawansowane monitorowanie krytycznych danych użytkownika zapewniające zapobiegające prze niezamierzonymi manipulacjami – ataki ransomware.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Centralna konsola zarządzająca zainstalowana na serwerze musi umożliwiać co najmniej: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 xml:space="preserve">Tworzenie paczek instalacyjnych oprogramowania klienckiego, z rozróżnieniem docelowej platformy systemowej (w tym 32 lub 64bit dla systemów Windows i </w:t>
            </w:r>
            <w:r>
              <w:rPr>
                <w:rFonts w:cstheme="minorHAnsi"/>
                <w:sz w:val="24"/>
                <w:szCs w:val="24"/>
              </w:rPr>
              <w:t xml:space="preserve">Linux), w formie plików .exe  </w:t>
            </w:r>
            <w:r w:rsidRPr="000D4F33">
              <w:rPr>
                <w:rFonts w:cstheme="minorHAnsi"/>
                <w:sz w:val="24"/>
                <w:szCs w:val="24"/>
              </w:rPr>
              <w:t>lub .msi dla Windows oraz formatach dla systemów Linux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Centralną dystrybucję na zarządzanych klientach uaktualnień definicji ochronnych, których źródłem będzie plik lub pliki wgrane na serwer konsoli przez administratora, bez dostępu do sieci Internet.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Raportowanie dostępne przez dedykowany panel w konsoli, z prezentacją tabelaryczną i graficzną, z możliwością automatycznego czyszczenia starych raportów, z możliwością eksportu do formatów CSV i PDF, prezentujące dane zarówno z logowania zdarzeń serwera konsoli, jak i dane/raporty zbierane ze stacji klienckich, w tym raporty o oprogramowaniu zainstalowanym na stacjach klienckich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Definiowanie struktury zarządzanie opartej o role i polityki, w których każda z funkcjonalności musi mieć możliwość konfiguracji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Zarządzanie przez Chmurę: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1.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Musi być zdolny do wyświetlania statusu bezpieczeństwa konsolidacyjnego urządzeń końcowych zainstalowanych w różnych biurach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2.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Musi posiadać zdolność do tworzenia kopii zapasowych i przywracania plików konfiguracyjnych z serwera chmury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3.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Musi posiadać zdolność do promowania skutecznej polityki lokalnej do globalnej i zastosować ją globalnie do wszystkich biur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4.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Musi mieć możliwość tworzenia wielu poziomów dostępu do hierarchii aby umożliwić dostęp do Chmury zgodnie z przypisaniem do grupy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lastRenderedPageBreak/>
              <w:t>5.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Musi posiadać dostęp do konsoli lokalnie z dowolnego miejsca w nagłych przypadkach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6.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Musi posiadać możliwość przeglądania raportów podsumowujących dla wszystkich urządzeń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7.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Musi posiadać zdolność do uzyskania raportów i powiadomień za pomocą poczty elektronicznej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Centralna konsola do zarządzania i monitorowania użycia zaszyfrowanych woluminów dyskowych, dystrybucji szyfrowania, polityk i centralnie zarządzanie informacjami odzyskiwania, niezbędnymi do uzyskania dostępu do zaszyfrowanych danych w nagłych przypadkach.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Aktualizacja oprogramowania w trybie offline, za pomocą paczek aktualizacyjnych ściągniętych z dedykowanej witryny producenta oprogramowania.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1.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Serwer: centralna konsola zarządzająca oraz oprogramowanie chroniące serwer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2.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Oprogramowanie klienckie, zarządzane z poziomu serwera.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System musi umożliwiać, w sposób centralnie zarządzany z konsoli na serwerze, co najmniej: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różne ustawienia dostępu dla urządzeń: pełny dostęp, tylko do odczytu i blokowanie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 xml:space="preserve">funkcje przyznania praw dostępu dla nośników pamięci tj. USB, CD 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funkcje regulowania połączeń WiFi i Bluetooth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funkcje kontrolowania i regulowania użycia urządzeń peryferyjnych typu: drukarki, skanery i kamery internetowe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funkcję blokady lub zezwolenia na połączenie się z urządzeniami mobilnymi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funkcje blokowania dostępu dowolnemu urządzeniu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tymczasowego dodania dostępu do urządzenia przez administratora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zdolność do szyfrowania zawartości USB i udostępniania go na punktach końcowych z zainstalowanym oprogramowaniem klienckim systemu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zablokowania funkcjonalności portów USB, blokując dostęp urządzeniom innym niż klawiatura i myszka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zezwalania na dostęp tylko urządzeniom wcześniej dodanym przez administratora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używania tylko zaufanych urządzeń sieciowych,      w tym urządzeń wskazanych na końcówkach klienckich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funkcję wirtualnej klawiatury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 xml:space="preserve">możliwość blokowania każdej aplikacji 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zablokowania aplikacji w oparciu o kategorie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dodania własnych aplikacji do listy zablokowanych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zdolność do tworzenia kompletnej listy aplikacji zainstalowanych na komputerach klientach poprzez konsole administracyjna na serwerze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dodawanie innych aplikacji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dodawanie aplikacji w formie portable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 xml:space="preserve">możliwość wyboru pojedynczej aplikacji w konkretnej wersji 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 xml:space="preserve">dodawanie aplikacji, których rozmiar pliku wykonywalnego ma wielkość </w:t>
            </w:r>
            <w:r w:rsidRPr="000D4F33">
              <w:rPr>
                <w:rFonts w:cstheme="minorHAnsi"/>
                <w:sz w:val="24"/>
                <w:szCs w:val="24"/>
              </w:rPr>
              <w:lastRenderedPageBreak/>
              <w:t>do 200MB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  <w:lang w:val="en-US"/>
              </w:rPr>
            </w:pPr>
            <w:r w:rsidRPr="000D4F33">
              <w:rPr>
                <w:rFonts w:cstheme="minorHAnsi"/>
                <w:sz w:val="24"/>
                <w:szCs w:val="24"/>
                <w:lang w:val="en-US"/>
              </w:rPr>
              <w:t>•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  <w:lang w:val="en-US"/>
              </w:rPr>
              <w:t>kategorie aplikacji typu: tuning software, toolbars, proxy, network tools, file sharing application, backup software,  encrypting tool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generowania i wysyłania raportów o aktywności na różnych kanałach transmisji danych, takich jak wymienne urządzenia, udziały sieciowe czy schowki.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zablokowania funkcji Printscreen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funkcje monitorowania przesyłu danych między aplikacjami zarówno na systemie operacyjnym Windows jak i OSx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funkcje monitorowania i kontroli przepływu poufnych informacji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dodawania własnych zdefiniowanych słów/fraz do wyszukania w różnych typów plików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blokowania plików w oparciu o ich rozszerzenie lub rodzaj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monitorowania i zarządzania danymi udostępnianymi poprzez zasoby sieciowe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ochronę przed wyciekiem informacji na drukarki lokalne i sieciowe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ochrona zawartości schowka systemu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ochrona przed wyciekiem informacji w poczcie e-mail w komunikacji SSL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dodawania wyjątków dla domen, aplikacji i lokalizacji sieciowych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 xml:space="preserve">ochrona plików zamkniętych w archiwach 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Zmiana rozszerzenia pliku nie może mieć znaczenia w ochronie plików przed wyciekiem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tworzenia profilu DLP dla każdej polityki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 xml:space="preserve">wyświetlanie alertu dla użytkownika w chwili próby wykonania niepożądanego działania 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ochrona przez wyciekiem plików poprzez programy typu p2p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Monitorowanie zmian w plikach: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monitorowania działań związanych z obsługą plików, takich jak kopiowanie, usuwanie, przenoszenie na dyskach lokalnych, dyskach wymiennych i sieciowych.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Funkcje monitorowania określonych rodzajów plików.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wykluczenia określonych plików/folderów dla procedury monitorowania.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Generator raportów do funkcjonalności monitora zmian w plikach.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śledzenia zmian we wszystkich plikach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śledzenia zmian w oprogramowaniu zainstalowanym na końcówkach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definiowana własnych typów plików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Optymalizacja systemu operacyjnego stacji klienckich: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usuwanie tymczasowych plików, czyszczenie niepotrzebnych wpisów do rejestru oraz defragmentacji dysku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optymalizacja w chwili startu systemu operacyjnego, przed jego całkowitym uruchomieniem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zaplanowania optymalizacje na wskazanych stacjach klienckich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instruktaż stanowiskowy pracowników Zamawiającego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dokumentacja techniczna w języku polskim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Oprogramowanie pozwalające na wykrywaniu oraz zarządzaniu podatnościami bezpieczeństwa: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Wymagania dotyczące technologii: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1.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Dostęp do rozwiązania realizowany jest za pomocą dedykowanego portalu zarządzającego dostępnego przez przeglądarkę internetową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2.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Portal zarządzający musi być dostępny w postaci usługi hostowanej na serwerach producenta.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3.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Dostęp do portalu zarządzającego odbywa się za pomocą wspieranych przeglądarek internetowych:</w:t>
            </w:r>
          </w:p>
          <w:p w:rsidR="009B0ED3" w:rsidRPr="00B72246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B72246">
              <w:rPr>
                <w:rFonts w:cstheme="minorHAnsi"/>
                <w:sz w:val="24"/>
                <w:szCs w:val="24"/>
              </w:rPr>
              <w:t>- Microsoft Internet Explorer</w:t>
            </w:r>
          </w:p>
          <w:p w:rsidR="009B0ED3" w:rsidRPr="00B72246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B72246">
              <w:rPr>
                <w:rFonts w:cstheme="minorHAnsi"/>
                <w:sz w:val="24"/>
                <w:szCs w:val="24"/>
              </w:rPr>
              <w:t>- Microsoft Edge</w:t>
            </w:r>
          </w:p>
          <w:p w:rsidR="009B0ED3" w:rsidRPr="00B72246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B72246">
              <w:rPr>
                <w:rFonts w:cstheme="minorHAnsi"/>
                <w:sz w:val="24"/>
                <w:szCs w:val="24"/>
              </w:rPr>
              <w:t>- Mozilla Firefox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 Google Chrome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 Safari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4.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Rozwiązanie realizuje skany podatności za pomocą dedykowanych nodów skanujących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5.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Nod skanujący musi być dostępny w postaci usługi hostowanej na serwerach producenta oraz w postaci aplikacji instalowanej lokalnie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6. Portal zarządzający musi umożliwiać: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a) przegląd wybranych danych na podstawie konfigurowalnych widgetów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b) zablokowania możliwości zmiany konfiguracji widgetów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c) zarządzanie skanami podatności (start, stop), przeglądanie listy podatności oraz tworzenie raportów.</w:t>
            </w:r>
          </w:p>
          <w:p w:rsidR="009B0ED3" w:rsidRPr="000D4F33" w:rsidRDefault="009B0ED3" w:rsidP="008862C3">
            <w:pPr>
              <w:spacing w:after="0" w:line="0" w:lineRule="atLeast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d) tworzenie grup skanów z odpowiednią konfiguracją poszczególnych skanów podatności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 xml:space="preserve">e) eksport wszystkich skanów podatności do pliku CSV 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Backup i przywracanie danych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Deduplikacja danych,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Backup przyrostowy i różnicowy,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Wersjonowanie plików – możliwość zdefiniowania dowolnej ilości wersji,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Backup danych lokalnych – plikowy oraz poczty Outlook,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Backup otwartych plików (VSS),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Filtr plików oraz folderów,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 xml:space="preserve">Domyślne wykluczenia zbędnych plików (pliki tymczasowe etc.), 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Wyłączanie komputera po wykonaniu backupu,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Przywracanie danych do wskazanej lokalizacji,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Możliwość backup-u z wykorzystaniem dowolnej ilości rdzeni procesora,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Wyszukiwanie plików w repozytorium użytkownika,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Ustawienia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Automatyczne logowanie,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Zapamiętywanie danych logowania,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Automatyczne uruchamianie programu przy starcie systemu,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Ustawianie priorytetu dla procesu backupu,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lastRenderedPageBreak/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Zmiana klucza szyfrującego,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Ustawienia przepustowości/zajętości pasma,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Konfiguracja wydajności procesu backupu,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Bezpieczeństwo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Zastępowanie nazwy pliku GUID-em,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Szyfrowanie danych algorytmem AES 256 CBC, zawsze po stronie komputera użytkownika,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Kompresja danych,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Transmisja po bezpiecznym protokole TLS,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Deklaracja klucza szyfrującego dane użytkownika,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 xml:space="preserve">Szczegółowy dziennik zdarzeń dostępny z poziomu aplikacji, 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>Obliczanie sumy kontrolnej,</w:t>
            </w:r>
          </w:p>
          <w:p w:rsidR="009B0ED3" w:rsidRPr="000D4F33" w:rsidRDefault="009B0ED3" w:rsidP="008862C3">
            <w:pPr>
              <w:spacing w:after="0"/>
              <w:jc w:val="both"/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sz w:val="24"/>
                <w:szCs w:val="24"/>
              </w:rPr>
              <w:t xml:space="preserve">Kopie zapasowe są przechowywane w profesjonalnych, certyfikowanych data center, na terenie Polski. </w:t>
            </w:r>
          </w:p>
          <w:p w:rsidR="009B0ED3" w:rsidRPr="000D4F33" w:rsidRDefault="009B0ED3" w:rsidP="008862C3">
            <w:pPr>
              <w:tabs>
                <w:tab w:val="left" w:pos="2595"/>
              </w:tabs>
              <w:spacing w:after="0"/>
              <w:jc w:val="both"/>
              <w:rPr>
                <w:rFonts w:cstheme="minorHAnsi"/>
                <w:bCs/>
                <w:sz w:val="24"/>
                <w:szCs w:val="24"/>
                <w:bdr w:val="none" w:sz="0" w:space="0" w:color="auto" w:frame="1"/>
              </w:rPr>
            </w:pPr>
            <w:r w:rsidRPr="000D4F33">
              <w:rPr>
                <w:rFonts w:cstheme="minorHAnsi"/>
                <w:sz w:val="24"/>
                <w:szCs w:val="24"/>
              </w:rPr>
              <w:t>WSPIERANE SYSTEMY OPERACYJNE  Microsoft Windows 7 i nowsze, Mac OS,Licencje przypisywane do jednego urządzenia z limitem pojemności przestrzeni w chmurze – minimum 50 GB. Wsparcie techniczne, świadczone jest bezpośrednio od producenta, w języku polskim, zawarte jest w cenie licencji.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lastRenderedPageBreak/>
              <w:t>18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1937C6" w:rsidRDefault="009B0ED3" w:rsidP="008862C3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  <w:r w:rsidRPr="001937C6">
              <w:rPr>
                <w:rFonts w:cstheme="minorHAnsi"/>
                <w:bCs/>
                <w:sz w:val="20"/>
                <w:szCs w:val="20"/>
              </w:rPr>
              <w:t>Wymagania dodatkowe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pStyle w:val="Pa3"/>
              <w:rPr>
                <w:rFonts w:asciiTheme="minorHAnsi" w:hAnsiTheme="minorHAnsi" w:cstheme="minorHAnsi"/>
                <w:bCs/>
              </w:rPr>
            </w:pPr>
            <w:r w:rsidRPr="000D4F33">
              <w:rPr>
                <w:rFonts w:asciiTheme="minorHAnsi" w:hAnsiTheme="minorHAnsi" w:cstheme="minorHAnsi"/>
                <w:bCs/>
              </w:rPr>
              <w:t>Wbudowany w obudowę porty (nie dopuszcza się stosowania przejściówek na zewnątrz obudowy):</w:t>
            </w:r>
          </w:p>
          <w:p w:rsidR="009B0ED3" w:rsidRPr="000D4F33" w:rsidRDefault="009B0ED3" w:rsidP="008862C3">
            <w:pPr>
              <w:pStyle w:val="Pa3"/>
              <w:rPr>
                <w:rFonts w:asciiTheme="minorHAnsi" w:hAnsiTheme="minorHAnsi" w:cstheme="minorHAnsi"/>
                <w:bCs/>
              </w:rPr>
            </w:pPr>
            <w:r w:rsidRPr="000D4F33">
              <w:rPr>
                <w:rFonts w:asciiTheme="minorHAnsi" w:hAnsiTheme="minorHAnsi" w:cstheme="minorHAnsi"/>
                <w:bCs/>
              </w:rPr>
              <w:t xml:space="preserve">- 1x VGA, </w:t>
            </w:r>
          </w:p>
          <w:p w:rsidR="009B0ED3" w:rsidRPr="000D4F33" w:rsidRDefault="009B0ED3" w:rsidP="008862C3">
            <w:pPr>
              <w:pStyle w:val="Pa3"/>
              <w:rPr>
                <w:rFonts w:asciiTheme="minorHAnsi" w:hAnsiTheme="minorHAnsi" w:cstheme="minorHAnsi"/>
                <w:bCs/>
              </w:rPr>
            </w:pPr>
            <w:r w:rsidRPr="000D4F33">
              <w:rPr>
                <w:rFonts w:asciiTheme="minorHAnsi" w:hAnsiTheme="minorHAnsi" w:cstheme="minorHAnsi"/>
                <w:bCs/>
              </w:rPr>
              <w:t>- 2x DP (dołączona przejściówka DP na HDMI)</w:t>
            </w:r>
          </w:p>
          <w:p w:rsidR="009B0ED3" w:rsidRPr="000D4F33" w:rsidRDefault="009B0ED3" w:rsidP="008862C3">
            <w:pPr>
              <w:pStyle w:val="Pa3"/>
              <w:rPr>
                <w:rFonts w:asciiTheme="minorHAnsi" w:hAnsiTheme="minorHAnsi" w:cstheme="minorHAnsi"/>
                <w:bCs/>
              </w:rPr>
            </w:pPr>
            <w:r w:rsidRPr="000D4F33">
              <w:rPr>
                <w:rFonts w:asciiTheme="minorHAnsi" w:hAnsiTheme="minorHAnsi" w:cstheme="minorHAnsi"/>
                <w:bCs/>
              </w:rPr>
              <w:t>- 5x USB 3.1 z przodu obudowy w tym min. 1xUSB 3.1 typ-C</w:t>
            </w:r>
          </w:p>
          <w:p w:rsidR="009B0ED3" w:rsidRPr="000D4F33" w:rsidRDefault="009B0ED3" w:rsidP="008862C3">
            <w:pPr>
              <w:pStyle w:val="Pa3"/>
              <w:rPr>
                <w:rFonts w:asciiTheme="minorHAnsi" w:hAnsiTheme="minorHAnsi" w:cstheme="minorHAnsi"/>
                <w:bCs/>
              </w:rPr>
            </w:pPr>
            <w:r w:rsidRPr="000D4F33">
              <w:rPr>
                <w:rFonts w:asciiTheme="minorHAnsi" w:hAnsiTheme="minorHAnsi" w:cstheme="minorHAnsi"/>
                <w:bCs/>
              </w:rPr>
              <w:t xml:space="preserve">- 4x USB 3.1 z tyłu obudowy, </w:t>
            </w:r>
          </w:p>
          <w:p w:rsidR="009B0ED3" w:rsidRPr="000D4F33" w:rsidRDefault="009B0ED3" w:rsidP="008862C3">
            <w:pPr>
              <w:pStyle w:val="Pa3"/>
              <w:rPr>
                <w:rFonts w:asciiTheme="minorHAnsi" w:hAnsiTheme="minorHAnsi" w:cstheme="minorHAnsi"/>
                <w:bCs/>
              </w:rPr>
            </w:pPr>
            <w:r w:rsidRPr="000D4F33">
              <w:rPr>
                <w:rFonts w:asciiTheme="minorHAnsi" w:hAnsiTheme="minorHAnsi" w:cstheme="minorHAnsi"/>
                <w:bCs/>
              </w:rPr>
              <w:t xml:space="preserve">- port sieciowy RJ-45, </w:t>
            </w:r>
          </w:p>
          <w:p w:rsidR="009B0ED3" w:rsidRPr="000D4F33" w:rsidRDefault="009B0ED3" w:rsidP="008862C3">
            <w:pPr>
              <w:pStyle w:val="Pa3"/>
              <w:rPr>
                <w:rFonts w:asciiTheme="minorHAnsi" w:hAnsiTheme="minorHAnsi" w:cstheme="minorHAnsi"/>
                <w:bCs/>
              </w:rPr>
            </w:pPr>
            <w:r w:rsidRPr="000D4F33">
              <w:rPr>
                <w:rFonts w:asciiTheme="minorHAnsi" w:hAnsiTheme="minorHAnsi" w:cstheme="minorHAnsi"/>
                <w:bCs/>
              </w:rPr>
              <w:t>- port szeregowy RS-232</w:t>
            </w:r>
          </w:p>
          <w:p w:rsidR="009B0ED3" w:rsidRPr="000D4F33" w:rsidRDefault="009B0ED3" w:rsidP="008862C3">
            <w:pPr>
              <w:pStyle w:val="Pa3"/>
              <w:rPr>
                <w:rFonts w:asciiTheme="minorHAnsi" w:hAnsiTheme="minorHAnsi" w:cstheme="minorHAnsi"/>
                <w:bCs/>
              </w:rPr>
            </w:pPr>
            <w:r w:rsidRPr="000D4F33">
              <w:rPr>
                <w:rFonts w:asciiTheme="minorHAnsi" w:hAnsiTheme="minorHAnsi" w:cstheme="minorHAnsi"/>
                <w:bCs/>
              </w:rPr>
              <w:t>- porty słuchawek i mikrofonu na przednim lub tylnym panelu obudowy</w:t>
            </w:r>
          </w:p>
          <w:p w:rsidR="009B0ED3" w:rsidRPr="000D4F33" w:rsidRDefault="009B0ED3" w:rsidP="008862C3">
            <w:pPr>
              <w:pStyle w:val="Default"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>- niski profil PCIe 3.0 x16</w:t>
            </w:r>
          </w:p>
          <w:p w:rsidR="009B0ED3" w:rsidRPr="000D4F33" w:rsidRDefault="009B0ED3" w:rsidP="008862C3">
            <w:pPr>
              <w:pStyle w:val="Default"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>- niski profil PCIe 3.0 x1</w:t>
            </w:r>
          </w:p>
          <w:p w:rsidR="009B0ED3" w:rsidRPr="000D4F33" w:rsidRDefault="009B0ED3" w:rsidP="008862C3">
            <w:pPr>
              <w:pStyle w:val="Default"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>- niski profil PCIe 3.0 x16(x4)</w:t>
            </w:r>
          </w:p>
          <w:p w:rsidR="009B0ED3" w:rsidRPr="000D4F33" w:rsidRDefault="009B0ED3" w:rsidP="008862C3">
            <w:pPr>
              <w:pStyle w:val="Default"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>- 2x slot M.2 w tym jeden wolny</w:t>
            </w:r>
          </w:p>
          <w:p w:rsidR="009B0ED3" w:rsidRPr="000D4F33" w:rsidRDefault="009B0ED3" w:rsidP="008862C3">
            <w:pPr>
              <w:pStyle w:val="Default"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 xml:space="preserve">- Czytnik kart pamięci 7w1 (wbudowany z przodu obudowy). 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Klawiatura USB w układzie polski programisty  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Mysz optyczna USB z dwoma przyciskami oraz rolką </w:t>
            </w:r>
          </w:p>
          <w:p w:rsidR="009B0ED3" w:rsidRPr="000D4F33" w:rsidRDefault="009B0ED3" w:rsidP="008862C3">
            <w:pPr>
              <w:spacing w:after="0"/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Wbudowana nagrywarka DVD +/-RW </w:t>
            </w:r>
          </w:p>
        </w:tc>
      </w:tr>
      <w:tr w:rsidR="009B0ED3" w:rsidRPr="00D67225" w:rsidTr="009B0ED3">
        <w:trPr>
          <w:trHeight w:val="284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ED3" w:rsidRPr="00D67225" w:rsidRDefault="009B0ED3" w:rsidP="009B0ED3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 w:rsidRPr="00D67225">
              <w:rPr>
                <w:rFonts w:cstheme="minorHAnsi"/>
                <w:bCs/>
              </w:rPr>
              <w:t>19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Default="009B0ED3" w:rsidP="008862C3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  <w:r w:rsidRPr="00C6002A">
              <w:rPr>
                <w:rFonts w:cstheme="minorHAnsi"/>
                <w:bCs/>
                <w:sz w:val="20"/>
                <w:szCs w:val="20"/>
              </w:rPr>
              <w:t>Pakiet biurowy ilość 4 sztuki – licencja bezterminowa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ED3" w:rsidRPr="000D4F33" w:rsidRDefault="009B0ED3" w:rsidP="008862C3">
            <w:pPr>
              <w:rPr>
                <w:rFonts w:cstheme="minorHAnsi"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Pakiet biurowy musi spełniać następujące wymagania poprzez wbudowane mechanizmy, bez użycia dodatkowych aplikacji:</w:t>
            </w:r>
          </w:p>
          <w:p w:rsidR="009B0ED3" w:rsidRPr="009B0ED3" w:rsidRDefault="009B0ED3" w:rsidP="009B0ED3">
            <w:pPr>
              <w:pStyle w:val="Akapitzlist"/>
              <w:numPr>
                <w:ilvl w:val="0"/>
                <w:numId w:val="5"/>
              </w:numPr>
              <w:spacing w:before="0" w:after="200" w:line="276" w:lineRule="auto"/>
              <w:jc w:val="left"/>
              <w:rPr>
                <w:rFonts w:cstheme="minorHAnsi"/>
                <w:sz w:val="24"/>
                <w:szCs w:val="24"/>
                <w:lang w:val="pl-PL"/>
              </w:rPr>
            </w:pPr>
            <w:r w:rsidRPr="009B0ED3">
              <w:rPr>
                <w:rFonts w:cstheme="minorHAnsi"/>
                <w:sz w:val="24"/>
                <w:szCs w:val="24"/>
                <w:lang w:val="pl-PL"/>
              </w:rPr>
              <w:t xml:space="preserve">Musi zawierać co najmniej następujące komponenty: </w:t>
            </w:r>
          </w:p>
          <w:p w:rsidR="009B0ED3" w:rsidRPr="00CA35D8" w:rsidRDefault="009B0ED3" w:rsidP="009B0ED3">
            <w:pPr>
              <w:pStyle w:val="Akapitzlist"/>
              <w:numPr>
                <w:ilvl w:val="0"/>
                <w:numId w:val="6"/>
              </w:numPr>
              <w:spacing w:before="0" w:after="200" w:line="276" w:lineRule="auto"/>
              <w:jc w:val="left"/>
              <w:rPr>
                <w:rFonts w:cstheme="minorHAnsi"/>
              </w:rPr>
            </w:pPr>
            <w:r w:rsidRPr="00CA35D8">
              <w:rPr>
                <w:rFonts w:cstheme="minorHAnsi"/>
                <w:sz w:val="24"/>
                <w:szCs w:val="24"/>
              </w:rPr>
              <w:t xml:space="preserve">Edytor tekstu, </w:t>
            </w:r>
          </w:p>
          <w:p w:rsidR="009B0ED3" w:rsidRDefault="009B0ED3" w:rsidP="009B0ED3">
            <w:pPr>
              <w:pStyle w:val="Akapitzlist"/>
              <w:numPr>
                <w:ilvl w:val="0"/>
                <w:numId w:val="6"/>
              </w:numPr>
              <w:spacing w:before="0" w:after="200" w:line="276" w:lineRule="auto"/>
              <w:jc w:val="left"/>
              <w:rPr>
                <w:rFonts w:cstheme="minorHAnsi"/>
              </w:rPr>
            </w:pPr>
            <w:r w:rsidRPr="00CA35D8">
              <w:rPr>
                <w:rFonts w:cstheme="minorHAnsi"/>
              </w:rPr>
              <w:t xml:space="preserve">Arkusz kalkulacyjny, </w:t>
            </w:r>
          </w:p>
          <w:p w:rsidR="009B0ED3" w:rsidRPr="009B0ED3" w:rsidRDefault="009B0ED3" w:rsidP="009B0ED3">
            <w:pPr>
              <w:pStyle w:val="Akapitzlist"/>
              <w:numPr>
                <w:ilvl w:val="0"/>
                <w:numId w:val="6"/>
              </w:numPr>
              <w:spacing w:before="0" w:after="200" w:line="276" w:lineRule="auto"/>
              <w:jc w:val="left"/>
              <w:rPr>
                <w:rFonts w:cstheme="minorHAnsi"/>
                <w:lang w:val="pl-PL"/>
              </w:rPr>
            </w:pPr>
            <w:r w:rsidRPr="009B0ED3">
              <w:rPr>
                <w:rFonts w:cstheme="minorHAnsi"/>
                <w:lang w:val="pl-PL"/>
              </w:rPr>
              <w:t xml:space="preserve">Program do przygotowywania i prowadzenia prezentacji </w:t>
            </w:r>
          </w:p>
          <w:p w:rsidR="009B0ED3" w:rsidRPr="000D4F33" w:rsidRDefault="009B0ED3" w:rsidP="009B0ED3">
            <w:pPr>
              <w:pStyle w:val="Default"/>
              <w:numPr>
                <w:ilvl w:val="0"/>
                <w:numId w:val="5"/>
              </w:numPr>
              <w:contextualSpacing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 xml:space="preserve">Wszystkie komponenty oferowanego pakietu biurowego muszą </w:t>
            </w:r>
            <w:r w:rsidRPr="000D4F33">
              <w:rPr>
                <w:rFonts w:asciiTheme="minorHAnsi" w:hAnsiTheme="minorHAnsi" w:cstheme="minorHAnsi"/>
              </w:rPr>
              <w:lastRenderedPageBreak/>
              <w:t xml:space="preserve">być integralną częścią tego samego pakietu, współpracować ze sobą (osadzanie i wymiana danych), posiadać jednolity interfejs oraz ten sam jednolity sposób obsługi; </w:t>
            </w:r>
          </w:p>
          <w:p w:rsidR="009B0ED3" w:rsidRPr="000D4F33" w:rsidRDefault="009B0ED3" w:rsidP="009B0ED3">
            <w:pPr>
              <w:pStyle w:val="Default"/>
              <w:numPr>
                <w:ilvl w:val="0"/>
                <w:numId w:val="5"/>
              </w:numPr>
              <w:contextualSpacing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 xml:space="preserve">Dostępna pełna polska wersja językowa interfejsu użytkownika, systemu komunikatów i podręcznej kontekstowej pomocy technicznej </w:t>
            </w:r>
          </w:p>
          <w:p w:rsidR="009B0ED3" w:rsidRPr="000D4F33" w:rsidRDefault="009B0ED3" w:rsidP="009B0ED3">
            <w:pPr>
              <w:pStyle w:val="Default"/>
              <w:numPr>
                <w:ilvl w:val="0"/>
                <w:numId w:val="5"/>
              </w:numPr>
              <w:contextualSpacing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 xml:space="preserve">Prawidłowe odczytywanie i zapisywanie danych w dokumentach w formatach: doc, docx, xls, xlsx, ppt, pptx, pps, ppsx, w tym obsługa formatowania bez utraty parametrów i cech użytkowych (zachowane wszelkie formatowanie, umiejscowienie tekstów, liczb, obrazków, wykresów, odstępy między tymi obiektami i kolorów) </w:t>
            </w:r>
          </w:p>
          <w:p w:rsidR="009B0ED3" w:rsidRPr="000D4F33" w:rsidRDefault="009B0ED3" w:rsidP="009B0ED3">
            <w:pPr>
              <w:pStyle w:val="Default"/>
              <w:numPr>
                <w:ilvl w:val="0"/>
                <w:numId w:val="5"/>
              </w:numPr>
              <w:contextualSpacing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 xml:space="preserve">Wykonywanie i edycja makr oraz kodu zapisanego w języku Visual Basic w plikach xls, xlsx oraz formuł w plikach wytworzonych w MS Office 2003, MS Office 2007, MS Office 2010, MS Office 2013, MS Office 2019 oraz MS Office 2021 oraz bez utraty danych oraz bez konieczności przerabiania dokumentów; </w:t>
            </w:r>
          </w:p>
          <w:p w:rsidR="009B0ED3" w:rsidRPr="000D4F33" w:rsidRDefault="009B0ED3" w:rsidP="009B0ED3">
            <w:pPr>
              <w:pStyle w:val="Default"/>
              <w:numPr>
                <w:ilvl w:val="0"/>
                <w:numId w:val="5"/>
              </w:numPr>
              <w:contextualSpacing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 xml:space="preserve">Możliwość zapisywania wytworzonych dokumentów bezpośrednio w formacie PDF </w:t>
            </w:r>
          </w:p>
          <w:p w:rsidR="009B0ED3" w:rsidRPr="000D4F33" w:rsidRDefault="009B0ED3" w:rsidP="009B0ED3">
            <w:pPr>
              <w:pStyle w:val="Default"/>
              <w:numPr>
                <w:ilvl w:val="0"/>
                <w:numId w:val="5"/>
              </w:numPr>
              <w:contextualSpacing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 xml:space="preserve">Możliwość nadawania uprawnień do modyfikacji i formatowania dokumentów lub ich elementów </w:t>
            </w:r>
          </w:p>
          <w:p w:rsidR="009B0ED3" w:rsidRPr="000D4F33" w:rsidRDefault="009B0ED3" w:rsidP="009B0ED3">
            <w:pPr>
              <w:pStyle w:val="Default"/>
              <w:numPr>
                <w:ilvl w:val="0"/>
                <w:numId w:val="5"/>
              </w:numPr>
              <w:contextualSpacing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 xml:space="preserve">Posiadać pełną kompatybilność z systemami operacyjnymi: </w:t>
            </w:r>
          </w:p>
          <w:p w:rsidR="009B0ED3" w:rsidRPr="000D4F33" w:rsidRDefault="009B0ED3" w:rsidP="009B0ED3">
            <w:pPr>
              <w:pStyle w:val="Default"/>
              <w:numPr>
                <w:ilvl w:val="0"/>
                <w:numId w:val="7"/>
              </w:numPr>
              <w:contextualSpacing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>MS Windows 10 (32 i 64-bit).</w:t>
            </w:r>
          </w:p>
          <w:p w:rsidR="009B0ED3" w:rsidRPr="000D4F33" w:rsidRDefault="009B0ED3" w:rsidP="009B0ED3">
            <w:pPr>
              <w:pStyle w:val="Default"/>
              <w:numPr>
                <w:ilvl w:val="0"/>
                <w:numId w:val="7"/>
              </w:numPr>
              <w:contextualSpacing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 xml:space="preserve">MS Windows 11 (32 i 64-bit). </w:t>
            </w:r>
          </w:p>
          <w:p w:rsidR="009B0ED3" w:rsidRPr="000D4F33" w:rsidRDefault="009B0ED3" w:rsidP="009B0ED3">
            <w:pPr>
              <w:pStyle w:val="Default"/>
              <w:numPr>
                <w:ilvl w:val="0"/>
                <w:numId w:val="5"/>
              </w:numPr>
              <w:contextualSpacing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>Licencja bezterminowa.</w:t>
            </w:r>
          </w:p>
          <w:p w:rsidR="009B0ED3" w:rsidRPr="000D4F33" w:rsidRDefault="009B0ED3" w:rsidP="009B0ED3">
            <w:pPr>
              <w:pStyle w:val="Default"/>
              <w:numPr>
                <w:ilvl w:val="0"/>
                <w:numId w:val="5"/>
              </w:numPr>
              <w:contextualSpacing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>Każda licencja zawiera indywidualny klucz licencji.</w:t>
            </w:r>
          </w:p>
          <w:p w:rsidR="009B0ED3" w:rsidRPr="000D4F33" w:rsidRDefault="009B0ED3" w:rsidP="009B0ED3">
            <w:pPr>
              <w:pStyle w:val="Default"/>
              <w:numPr>
                <w:ilvl w:val="0"/>
                <w:numId w:val="5"/>
              </w:numPr>
              <w:contextualSpacing/>
              <w:rPr>
                <w:rFonts w:asciiTheme="minorHAnsi" w:hAnsiTheme="minorHAnsi" w:cstheme="minorHAnsi"/>
              </w:rPr>
            </w:pPr>
            <w:r w:rsidRPr="000D4F33">
              <w:rPr>
                <w:rFonts w:asciiTheme="minorHAnsi" w:hAnsiTheme="minorHAnsi" w:cstheme="minorHAnsi"/>
              </w:rPr>
              <w:t>Oprogramowanie musi być nowe, nieużywane, nie przypisane wcześniej do innego konta / użytkownika</w:t>
            </w:r>
          </w:p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sz w:val="24"/>
                <w:szCs w:val="24"/>
              </w:rPr>
              <w:t>W przypadku zaoferowania przez Wykonawcę rozwiązania równoważnego, Wykonawca jest zobowiązany do pokrycia wszelkich możliwych kosztów, wymaganych w czasie wdrożenia oferowanego rozwiązania, serwisu gwarancyjnego oraz kosztów certyfikowanych szkoleń dla użytkowników oferowanego rozwiązania</w:t>
            </w:r>
          </w:p>
        </w:tc>
      </w:tr>
    </w:tbl>
    <w:p w:rsidR="00DF63B5" w:rsidRDefault="00DF63B5" w:rsidP="00DF63B5"/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28"/>
        <w:gridCol w:w="1831"/>
        <w:gridCol w:w="6827"/>
      </w:tblGrid>
      <w:tr w:rsidR="009B0ED3" w:rsidTr="009B0ED3">
        <w:tc>
          <w:tcPr>
            <w:tcW w:w="338" w:type="pct"/>
            <w:vAlign w:val="center"/>
          </w:tcPr>
          <w:p w:rsidR="009B0ED3" w:rsidRPr="00D67225" w:rsidRDefault="009B0ED3" w:rsidP="008862C3">
            <w:pPr>
              <w:pStyle w:val="Tabelapozycja"/>
              <w:spacing w:line="276" w:lineRule="auto"/>
              <w:rPr>
                <w:rFonts w:asciiTheme="minorHAnsi" w:eastAsia="Times New Roman" w:hAnsiTheme="minorHAnsi" w:cstheme="minorHAnsi"/>
                <w:b/>
                <w:szCs w:val="22"/>
                <w:lang w:eastAsia="en-US"/>
              </w:rPr>
            </w:pPr>
            <w:r w:rsidRPr="00D67225">
              <w:rPr>
                <w:rFonts w:asciiTheme="minorHAnsi" w:eastAsia="Times New Roman" w:hAnsiTheme="minorHAnsi" w:cstheme="minorHAnsi"/>
                <w:b/>
                <w:szCs w:val="22"/>
                <w:lang w:eastAsia="en-US"/>
              </w:rPr>
              <w:t>Lp.</w:t>
            </w:r>
          </w:p>
        </w:tc>
        <w:tc>
          <w:tcPr>
            <w:tcW w:w="986" w:type="pct"/>
            <w:vAlign w:val="center"/>
          </w:tcPr>
          <w:p w:rsidR="009B0ED3" w:rsidRPr="004506A6" w:rsidRDefault="009B0ED3" w:rsidP="008862C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92F6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Nazwa komponentu</w:t>
            </w:r>
          </w:p>
        </w:tc>
        <w:tc>
          <w:tcPr>
            <w:tcW w:w="3676" w:type="pct"/>
            <w:vAlign w:val="center"/>
          </w:tcPr>
          <w:p w:rsidR="009B0ED3" w:rsidRPr="004506A6" w:rsidRDefault="009B0ED3" w:rsidP="008862C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4506A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wymagane minimalne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 </w:t>
            </w:r>
            <w:r w:rsidRPr="004506A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parametry </w:t>
            </w:r>
            <w:r w:rsidRPr="00F92F62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techniczne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monitora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1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Typ ekranu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Ekran ciekłokrystaliczny z aktywną matrycą LED, IPS lub VA 23,8” 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2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Jasność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250 cd/m2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3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Kontrast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1000:1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4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Kąty </w:t>
            </w:r>
            <w:r>
              <w:rPr>
                <w:rFonts w:cstheme="minorHAnsi"/>
                <w:bCs/>
                <w:sz w:val="24"/>
                <w:szCs w:val="24"/>
              </w:rPr>
              <w:t>w</w:t>
            </w:r>
            <w:r w:rsidRPr="000D4F33">
              <w:rPr>
                <w:rFonts w:cstheme="minorHAnsi"/>
                <w:bCs/>
                <w:sz w:val="24"/>
                <w:szCs w:val="24"/>
              </w:rPr>
              <w:t>idzenia (pion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bCs/>
                <w:sz w:val="24"/>
                <w:szCs w:val="24"/>
              </w:rPr>
              <w:t>/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0D4F33">
              <w:rPr>
                <w:rFonts w:cstheme="minorHAnsi"/>
                <w:bCs/>
                <w:sz w:val="24"/>
                <w:szCs w:val="24"/>
              </w:rPr>
              <w:t>poziom)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178/178 stopni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5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Czas reakcji matrycy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max 5 ms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6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Rozdzielczość maksymalna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  <w:lang w:val="en-US"/>
              </w:rPr>
              <w:t>1920 x 1080 przy 60Hz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7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Wyświetlane </w:t>
            </w:r>
            <w:r w:rsidRPr="000D4F33">
              <w:rPr>
                <w:rFonts w:cstheme="minorHAnsi"/>
                <w:bCs/>
                <w:sz w:val="24"/>
                <w:szCs w:val="24"/>
              </w:rPr>
              <w:lastRenderedPageBreak/>
              <w:t>kolory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lastRenderedPageBreak/>
              <w:t>16.7 milionów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8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Zakres pochylenie monitora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+20°~-5° 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9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Powłoka powierzchni ekranu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Antyodblaskowa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10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Podświetlenie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System podświetlenia LED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11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Zużycie energii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Typowo 22W, czuwanie mniej niż 0,5W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12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Bezpieczeństwo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Monitor musi być wyposażony w tzw. Kensington Slot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13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Waga 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Maksymalnie 5 kg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14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Złącze </w:t>
            </w:r>
          </w:p>
        </w:tc>
        <w:tc>
          <w:tcPr>
            <w:tcW w:w="3676" w:type="pct"/>
            <w:vAlign w:val="center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VGA (D-sub) - 1 szt.</w:t>
            </w:r>
          </w:p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HDMI - 1 szt.DC-in (wejście zasilania) - 1 szt.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15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Gwarancja</w:t>
            </w:r>
          </w:p>
        </w:tc>
        <w:tc>
          <w:tcPr>
            <w:tcW w:w="367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5 lata gwarancji z czasem reakcji serwisu - do końca następnego dnia roboczego</w:t>
            </w:r>
          </w:p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Firma serwisująca musi posiadać ISO 9001:2000 na świadczenie usług serwisowych oraz posiadać autoryzacje producenta komputera </w:t>
            </w:r>
            <w:r w:rsidRPr="000D4F33">
              <w:rPr>
                <w:rFonts w:cstheme="minorHAnsi"/>
                <w:b/>
                <w:bCs/>
                <w:sz w:val="24"/>
                <w:szCs w:val="24"/>
              </w:rPr>
              <w:t>– dokumenty potwierdzające dostarczyć na wezwanie Zamawiającego</w:t>
            </w:r>
          </w:p>
        </w:tc>
      </w:tr>
      <w:tr w:rsidR="009B0ED3" w:rsidTr="009B0ED3">
        <w:tc>
          <w:tcPr>
            <w:tcW w:w="338" w:type="pct"/>
          </w:tcPr>
          <w:p w:rsidR="009B0ED3" w:rsidRDefault="009B0ED3" w:rsidP="008862C3">
            <w:r>
              <w:t>16</w:t>
            </w:r>
          </w:p>
        </w:tc>
        <w:tc>
          <w:tcPr>
            <w:tcW w:w="98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Inne</w:t>
            </w:r>
          </w:p>
        </w:tc>
        <w:tc>
          <w:tcPr>
            <w:tcW w:w="3676" w:type="pct"/>
          </w:tcPr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Odłączana stopa, VESA 100mm</w:t>
            </w:r>
          </w:p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>Redukcja migotania</w:t>
            </w:r>
          </w:p>
          <w:p w:rsidR="009B0ED3" w:rsidRPr="000D4F33" w:rsidRDefault="009B0ED3" w:rsidP="008862C3">
            <w:pPr>
              <w:rPr>
                <w:rFonts w:cstheme="minorHAnsi"/>
                <w:bCs/>
                <w:sz w:val="24"/>
                <w:szCs w:val="24"/>
              </w:rPr>
            </w:pPr>
            <w:r w:rsidRPr="000D4F33">
              <w:rPr>
                <w:rFonts w:cstheme="minorHAnsi"/>
                <w:bCs/>
                <w:sz w:val="24"/>
                <w:szCs w:val="24"/>
              </w:rPr>
              <w:t xml:space="preserve">Filtr światła niebieskiego </w:t>
            </w:r>
          </w:p>
        </w:tc>
      </w:tr>
    </w:tbl>
    <w:p w:rsidR="009B0ED3" w:rsidRDefault="009B0ED3" w:rsidP="00DF63B5"/>
    <w:p w:rsidR="00300A91" w:rsidRDefault="00300A91"/>
    <w:sectPr w:rsidR="00300A91" w:rsidSect="009541BE"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85B" w:rsidRDefault="001D585B" w:rsidP="009541BE">
      <w:pPr>
        <w:spacing w:after="0" w:line="240" w:lineRule="auto"/>
      </w:pPr>
      <w:r>
        <w:separator/>
      </w:r>
    </w:p>
  </w:endnote>
  <w:endnote w:type="continuationSeparator" w:id="0">
    <w:p w:rsidR="001D585B" w:rsidRDefault="001D585B" w:rsidP="00954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ll Replica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85B" w:rsidRDefault="001D585B" w:rsidP="009541BE">
      <w:pPr>
        <w:spacing w:after="0" w:line="240" w:lineRule="auto"/>
      </w:pPr>
      <w:r>
        <w:separator/>
      </w:r>
    </w:p>
  </w:footnote>
  <w:footnote w:type="continuationSeparator" w:id="0">
    <w:p w:rsidR="001D585B" w:rsidRDefault="001D585B" w:rsidP="009541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45BAB"/>
    <w:multiLevelType w:val="hybridMultilevel"/>
    <w:tmpl w:val="044C2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1100D"/>
    <w:multiLevelType w:val="hybridMultilevel"/>
    <w:tmpl w:val="CE24E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505"/>
        </w:tabs>
        <w:ind w:left="1505" w:hanging="108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CA4413"/>
    <w:multiLevelType w:val="hybridMultilevel"/>
    <w:tmpl w:val="92FEB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9260D"/>
    <w:multiLevelType w:val="hybridMultilevel"/>
    <w:tmpl w:val="3A1E152C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0F19E8"/>
    <w:multiLevelType w:val="hybridMultilevel"/>
    <w:tmpl w:val="5F70AAA0"/>
    <w:lvl w:ilvl="0" w:tplc="0C9063B6">
      <w:start w:val="1"/>
      <w:numFmt w:val="decimal"/>
      <w:lvlText w:val="%1."/>
      <w:lvlJc w:val="left"/>
      <w:pPr>
        <w:ind w:left="1068" w:hanging="708"/>
      </w:pPr>
    </w:lvl>
    <w:lvl w:ilvl="1" w:tplc="5FB64BBC">
      <w:start w:val="1"/>
      <w:numFmt w:val="lowerLetter"/>
      <w:lvlText w:val="%2."/>
      <w:lvlJc w:val="left"/>
      <w:pPr>
        <w:ind w:left="1788" w:hanging="708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D05646"/>
    <w:multiLevelType w:val="hybridMultilevel"/>
    <w:tmpl w:val="F3D4B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EA3"/>
    <w:rsid w:val="00042610"/>
    <w:rsid w:val="000F3EA3"/>
    <w:rsid w:val="0014197B"/>
    <w:rsid w:val="00182C6A"/>
    <w:rsid w:val="00196783"/>
    <w:rsid w:val="001D585B"/>
    <w:rsid w:val="002F72D4"/>
    <w:rsid w:val="00300A91"/>
    <w:rsid w:val="003F7F2C"/>
    <w:rsid w:val="00401885"/>
    <w:rsid w:val="00404B4A"/>
    <w:rsid w:val="005E2ABA"/>
    <w:rsid w:val="00625317"/>
    <w:rsid w:val="00635DAC"/>
    <w:rsid w:val="00657FA0"/>
    <w:rsid w:val="00704DF6"/>
    <w:rsid w:val="007A564B"/>
    <w:rsid w:val="009541BE"/>
    <w:rsid w:val="009B08C9"/>
    <w:rsid w:val="009B0ED3"/>
    <w:rsid w:val="00A70312"/>
    <w:rsid w:val="00B8209F"/>
    <w:rsid w:val="00B93E03"/>
    <w:rsid w:val="00BB476C"/>
    <w:rsid w:val="00BE1425"/>
    <w:rsid w:val="00D469E7"/>
    <w:rsid w:val="00D67225"/>
    <w:rsid w:val="00DF63B5"/>
    <w:rsid w:val="00EC07F9"/>
    <w:rsid w:val="00F51D16"/>
    <w:rsid w:val="00F9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BAFF97-DC0B-4F75-8F5C-780CDF093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E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3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3EA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4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1BE"/>
  </w:style>
  <w:style w:type="paragraph" w:styleId="Stopka">
    <w:name w:val="footer"/>
    <w:basedOn w:val="Normalny"/>
    <w:link w:val="StopkaZnak"/>
    <w:uiPriority w:val="99"/>
    <w:unhideWhenUsed/>
    <w:rsid w:val="00954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1BE"/>
  </w:style>
  <w:style w:type="paragraph" w:styleId="Akapitzlist">
    <w:name w:val="List Paragraph"/>
    <w:aliases w:val="Numerowanie,List Paragraph,Akapit z listą BS"/>
    <w:basedOn w:val="Normalny"/>
    <w:link w:val="AkapitzlistZnak"/>
    <w:uiPriority w:val="34"/>
    <w:qFormat/>
    <w:rsid w:val="00DF63B5"/>
    <w:pPr>
      <w:suppressAutoHyphens/>
      <w:spacing w:before="120" w:after="120" w:line="240" w:lineRule="auto"/>
      <w:ind w:left="720"/>
      <w:contextualSpacing/>
      <w:jc w:val="both"/>
    </w:pPr>
    <w:rPr>
      <w:rFonts w:eastAsia="Times New Roman" w:cs="Times New Roman"/>
      <w:szCs w:val="20"/>
      <w:lang w:val="en-GB" w:eastAsia="ar-SA"/>
    </w:rPr>
  </w:style>
  <w:style w:type="character" w:customStyle="1" w:styleId="AkapitzlistZnak">
    <w:name w:val="Akapit z listą Znak"/>
    <w:aliases w:val="Numerowanie Znak,List Paragraph Znak,Akapit z listą BS Znak"/>
    <w:link w:val="Akapitzlist"/>
    <w:uiPriority w:val="34"/>
    <w:qFormat/>
    <w:locked/>
    <w:rsid w:val="00DF63B5"/>
    <w:rPr>
      <w:rFonts w:eastAsia="Times New Roman" w:cs="Times New Roman"/>
      <w:szCs w:val="20"/>
      <w:lang w:val="en-GB" w:eastAsia="ar-SA"/>
    </w:rPr>
  </w:style>
  <w:style w:type="paragraph" w:customStyle="1" w:styleId="Tabelapozycja">
    <w:name w:val="Tabela pozycja"/>
    <w:basedOn w:val="Normalny"/>
    <w:rsid w:val="00DF63B5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paragraph" w:customStyle="1" w:styleId="Default">
    <w:name w:val="Default"/>
    <w:rsid w:val="00DF63B5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styleId="Hipercze">
    <w:name w:val="Hyperlink"/>
    <w:rsid w:val="009B0ED3"/>
    <w:rPr>
      <w:color w:val="0000FF"/>
      <w:u w:val="single"/>
    </w:rPr>
  </w:style>
  <w:style w:type="paragraph" w:customStyle="1" w:styleId="Pa3">
    <w:name w:val="Pa3"/>
    <w:basedOn w:val="Default"/>
    <w:next w:val="Default"/>
    <w:uiPriority w:val="99"/>
    <w:rsid w:val="009B0ED3"/>
    <w:pPr>
      <w:spacing w:line="161" w:lineRule="atLeast"/>
    </w:pPr>
    <w:rPr>
      <w:rFonts w:ascii="Dell Replica Light" w:hAnsi="Dell Replica Light" w:cstheme="minorBidi"/>
      <w:color w:val="auto"/>
    </w:rPr>
  </w:style>
  <w:style w:type="table" w:styleId="Tabela-Siatka">
    <w:name w:val="Table Grid"/>
    <w:basedOn w:val="Standardowy"/>
    <w:uiPriority w:val="59"/>
    <w:rsid w:val="009B0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codevelopment.com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D715F-9755-48E8-95B3-ECF710954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3951</Words>
  <Characters>23711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27607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2</cp:revision>
  <dcterms:created xsi:type="dcterms:W3CDTF">2023-01-23T09:40:00Z</dcterms:created>
  <dcterms:modified xsi:type="dcterms:W3CDTF">2023-01-23T09:40:00Z</dcterms:modified>
</cp:coreProperties>
</file>